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760"/>
        <w:gridCol w:w="5040"/>
      </w:tblGrid>
      <w:tr w:rsidR="00334447" w:rsidRPr="00F91A6C" w14:paraId="602A6F4B" w14:textId="77777777" w:rsidTr="503727F5">
        <w:tc>
          <w:tcPr>
            <w:tcW w:w="5760" w:type="dxa"/>
            <w:tcBorders>
              <w:top w:val="nil"/>
              <w:left w:val="nil"/>
              <w:bottom w:val="single" w:sz="12" w:space="0" w:color="156082" w:themeColor="accent1"/>
              <w:right w:val="nil"/>
            </w:tcBorders>
          </w:tcPr>
          <w:p w14:paraId="3D2FE8F6" w14:textId="2A7695AA" w:rsidR="00334447" w:rsidRPr="00F91A6C" w:rsidRDefault="00334447" w:rsidP="6AA78D96">
            <w:pPr>
              <w:rPr>
                <w:rFonts w:ascii="Aptos" w:eastAsia="Aptos" w:hAnsi="Aptos" w:cs="Aptos"/>
                <w:sz w:val="22"/>
                <w:szCs w:val="22"/>
              </w:rPr>
            </w:pPr>
            <w:r w:rsidRPr="00F91A6C">
              <w:rPr>
                <w:b/>
                <w:bCs/>
                <w:color w:val="002060"/>
                <w:sz w:val="22"/>
                <w:szCs w:val="22"/>
              </w:rPr>
              <w:t>Standard Operating Procedure:</w:t>
            </w:r>
            <w:r w:rsidR="00B96438">
              <w:rPr>
                <w:b/>
                <w:bCs/>
                <w:color w:val="002060"/>
                <w:sz w:val="22"/>
                <w:szCs w:val="22"/>
              </w:rPr>
              <w:br/>
            </w:r>
            <w:r w:rsidRPr="00F91A6C">
              <w:rPr>
                <w:sz w:val="22"/>
                <w:szCs w:val="22"/>
              </w:rPr>
              <w:br/>
            </w:r>
            <w:r w:rsidR="00B96438">
              <w:rPr>
                <w:b/>
                <w:bCs/>
                <w:color w:val="002060"/>
                <w:sz w:val="22"/>
                <w:szCs w:val="22"/>
              </w:rPr>
              <w:t xml:space="preserve">Quality Review of </w:t>
            </w:r>
            <w:r w:rsidR="0068246D">
              <w:rPr>
                <w:b/>
                <w:bCs/>
                <w:color w:val="002060"/>
                <w:sz w:val="22"/>
                <w:szCs w:val="22"/>
              </w:rPr>
              <w:t xml:space="preserve"> Records Prior to Submission</w:t>
            </w:r>
            <w:r w:rsidR="00B96438">
              <w:rPr>
                <w:b/>
                <w:bCs/>
                <w:color w:val="002060"/>
                <w:sz w:val="22"/>
                <w:szCs w:val="22"/>
              </w:rPr>
              <w:t xml:space="preserve"> to Production</w:t>
            </w:r>
            <w:r w:rsidR="00FB7BF2">
              <w:rPr>
                <w:rFonts w:ascii="Aptos" w:eastAsia="Aptos" w:hAnsi="Aptos" w:cs="Aptos"/>
                <w:b/>
                <w:bCs/>
                <w:color w:val="002060"/>
                <w:sz w:val="22"/>
                <w:szCs w:val="22"/>
              </w:rPr>
              <w:br/>
            </w:r>
            <w:r w:rsidR="0068246D">
              <w:rPr>
                <w:rFonts w:ascii="Aptos" w:eastAsia="Aptos" w:hAnsi="Aptos" w:cs="Aptos"/>
                <w:b/>
                <w:bCs/>
                <w:color w:val="002060"/>
                <w:sz w:val="22"/>
                <w:szCs w:val="22"/>
              </w:rPr>
              <w:t xml:space="preserve"> </w:t>
            </w:r>
          </w:p>
        </w:tc>
        <w:tc>
          <w:tcPr>
            <w:tcW w:w="5040" w:type="dxa"/>
            <w:tcBorders>
              <w:top w:val="nil"/>
              <w:left w:val="nil"/>
              <w:bottom w:val="single" w:sz="12" w:space="0" w:color="156082" w:themeColor="accent1"/>
              <w:right w:val="nil"/>
            </w:tcBorders>
          </w:tcPr>
          <w:p w14:paraId="72090C51" w14:textId="2E6A4288" w:rsidR="00334447" w:rsidRPr="00F91A6C" w:rsidRDefault="00334447">
            <w:pPr>
              <w:rPr>
                <w:color w:val="002060"/>
                <w:sz w:val="22"/>
                <w:szCs w:val="22"/>
              </w:rPr>
            </w:pPr>
            <w:r w:rsidRPr="00F91A6C">
              <w:rPr>
                <w:b/>
                <w:bCs/>
                <w:noProof/>
                <w:color w:val="002060"/>
                <w:sz w:val="22"/>
                <w:szCs w:val="22"/>
              </w:rPr>
              <w:t xml:space="preserve">                                    </w:t>
            </w:r>
            <w:r w:rsidRPr="00F91A6C">
              <w:rPr>
                <w:b/>
                <w:bCs/>
                <w:noProof/>
                <w:color w:val="002060"/>
                <w:sz w:val="22"/>
                <w:szCs w:val="22"/>
              </w:rPr>
              <w:drawing>
                <wp:inline distT="0" distB="0" distL="0" distR="0" wp14:anchorId="5DDBD254" wp14:editId="5520C91D">
                  <wp:extent cx="1143000" cy="342900"/>
                  <wp:effectExtent l="0" t="0" r="0" b="0"/>
                  <wp:docPr id="213062692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26925" name="Picture 1" descr="A blue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45947" cy="343784"/>
                          </a:xfrm>
                          <a:prstGeom prst="rect">
                            <a:avLst/>
                          </a:prstGeom>
                        </pic:spPr>
                      </pic:pic>
                    </a:graphicData>
                  </a:graphic>
                </wp:inline>
              </w:drawing>
            </w:r>
            <w:r w:rsidRPr="00F91A6C">
              <w:rPr>
                <w:b/>
                <w:bCs/>
                <w:noProof/>
                <w:color w:val="002060"/>
                <w:sz w:val="22"/>
                <w:szCs w:val="22"/>
              </w:rPr>
              <w:drawing>
                <wp:inline distT="0" distB="0" distL="0" distR="0" wp14:anchorId="1B6854D1" wp14:editId="0C8AA355">
                  <wp:extent cx="516475" cy="504825"/>
                  <wp:effectExtent l="0" t="0" r="0" b="0"/>
                  <wp:docPr id="566469322" name="Picture 2" descr="A logo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69322" name="Picture 2" descr="A logo with blue and orange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2247" cy="510467"/>
                          </a:xfrm>
                          <a:prstGeom prst="rect">
                            <a:avLst/>
                          </a:prstGeom>
                        </pic:spPr>
                      </pic:pic>
                    </a:graphicData>
                  </a:graphic>
                </wp:inline>
              </w:drawing>
            </w:r>
            <w:r w:rsidRPr="00F91A6C">
              <w:rPr>
                <w:b/>
                <w:bCs/>
                <w:noProof/>
                <w:color w:val="002060"/>
                <w:sz w:val="22"/>
                <w:szCs w:val="22"/>
              </w:rPr>
              <w:br/>
            </w:r>
          </w:p>
        </w:tc>
      </w:tr>
      <w:tr w:rsidR="00334447" w:rsidRPr="00F91A6C" w14:paraId="47B49F6F" w14:textId="77777777" w:rsidTr="503727F5">
        <w:tc>
          <w:tcPr>
            <w:tcW w:w="5760" w:type="dxa"/>
            <w:tcBorders>
              <w:top w:val="single" w:sz="12" w:space="0" w:color="156082" w:themeColor="accent1"/>
              <w:left w:val="nil"/>
              <w:bottom w:val="single" w:sz="12" w:space="0" w:color="D9D9D9" w:themeColor="background1" w:themeShade="D9"/>
              <w:right w:val="nil"/>
            </w:tcBorders>
          </w:tcPr>
          <w:p w14:paraId="56FC716D" w14:textId="1FBC901F" w:rsidR="00334447" w:rsidRPr="00F91A6C" w:rsidRDefault="00503570" w:rsidP="6AA78D96">
            <w:pPr>
              <w:rPr>
                <w:rFonts w:ascii="Aptos" w:eastAsia="Aptos" w:hAnsi="Aptos" w:cs="Aptos"/>
                <w:sz w:val="22"/>
                <w:szCs w:val="22"/>
              </w:rPr>
            </w:pPr>
            <w:r w:rsidRPr="00F91A6C">
              <w:rPr>
                <w:b/>
                <w:bCs/>
                <w:color w:val="002060"/>
                <w:sz w:val="22"/>
                <w:szCs w:val="22"/>
              </w:rPr>
              <w:t>Date:</w:t>
            </w:r>
            <w:r w:rsidRPr="00F91A6C">
              <w:rPr>
                <w:color w:val="002060"/>
                <w:sz w:val="22"/>
                <w:szCs w:val="22"/>
              </w:rPr>
              <w:t xml:space="preserve"> </w:t>
            </w:r>
            <w:r w:rsidR="0068246D">
              <w:rPr>
                <w:color w:val="002060"/>
                <w:sz w:val="22"/>
                <w:szCs w:val="22"/>
              </w:rPr>
              <w:t>09/10/2025</w:t>
            </w:r>
            <w:r w:rsidR="005E01E1" w:rsidRPr="00F91A6C">
              <w:rPr>
                <w:color w:val="002060"/>
                <w:sz w:val="22"/>
                <w:szCs w:val="22"/>
              </w:rPr>
              <w:br/>
            </w:r>
            <w:r w:rsidRPr="00F91A6C">
              <w:rPr>
                <w:b/>
                <w:bCs/>
                <w:color w:val="002060"/>
                <w:sz w:val="22"/>
                <w:szCs w:val="22"/>
              </w:rPr>
              <w:t xml:space="preserve">Last Updated: </w:t>
            </w:r>
            <w:r w:rsidR="005E01E1" w:rsidRPr="00F91A6C">
              <w:rPr>
                <w:b/>
                <w:bCs/>
                <w:color w:val="002060"/>
                <w:sz w:val="22"/>
                <w:szCs w:val="22"/>
              </w:rPr>
              <w:t xml:space="preserve"> </w:t>
            </w:r>
            <w:r w:rsidR="005E01E1" w:rsidRPr="00F91A6C">
              <w:rPr>
                <w:b/>
                <w:bCs/>
                <w:color w:val="002060"/>
                <w:sz w:val="22"/>
                <w:szCs w:val="22"/>
              </w:rPr>
              <w:br/>
            </w:r>
          </w:p>
        </w:tc>
        <w:tc>
          <w:tcPr>
            <w:tcW w:w="5040" w:type="dxa"/>
            <w:tcBorders>
              <w:top w:val="single" w:sz="12" w:space="0" w:color="156082" w:themeColor="accent1"/>
              <w:left w:val="nil"/>
              <w:bottom w:val="single" w:sz="12" w:space="0" w:color="D9D9D9" w:themeColor="background1" w:themeShade="D9"/>
              <w:right w:val="nil"/>
            </w:tcBorders>
          </w:tcPr>
          <w:p w14:paraId="2D9852FE" w14:textId="180D6E4E" w:rsidR="00334447" w:rsidRPr="00F91A6C" w:rsidRDefault="001F77AF" w:rsidP="7B81BD7D">
            <w:pPr>
              <w:rPr>
                <w:b/>
                <w:bCs/>
                <w:color w:val="002060"/>
                <w:sz w:val="22"/>
                <w:szCs w:val="22"/>
              </w:rPr>
            </w:pPr>
            <w:r w:rsidRPr="00F91A6C">
              <w:rPr>
                <w:sz w:val="22"/>
                <w:szCs w:val="22"/>
              </w:rPr>
              <w:br/>
            </w:r>
            <w:r w:rsidRPr="00F91A6C">
              <w:rPr>
                <w:b/>
                <w:bCs/>
                <w:color w:val="002060"/>
                <w:sz w:val="22"/>
                <w:szCs w:val="22"/>
              </w:rPr>
              <w:t>SOP #:</w:t>
            </w:r>
            <w:r w:rsidRPr="00F91A6C">
              <w:rPr>
                <w:color w:val="002060"/>
                <w:sz w:val="22"/>
                <w:szCs w:val="22"/>
              </w:rPr>
              <w:t xml:space="preserve"> </w:t>
            </w:r>
            <w:r w:rsidR="2C7F514E" w:rsidRPr="00F91A6C">
              <w:rPr>
                <w:color w:val="002060"/>
                <w:sz w:val="22"/>
                <w:szCs w:val="22"/>
              </w:rPr>
              <w:t xml:space="preserve"> </w:t>
            </w:r>
            <w:r w:rsidR="005E01E1" w:rsidRPr="00F91A6C">
              <w:rPr>
                <w:color w:val="002060"/>
                <w:sz w:val="22"/>
                <w:szCs w:val="22"/>
              </w:rPr>
              <w:t xml:space="preserve"> </w:t>
            </w:r>
            <w:r w:rsidR="0068246D">
              <w:rPr>
                <w:color w:val="002060"/>
                <w:sz w:val="22"/>
                <w:szCs w:val="22"/>
              </w:rPr>
              <w:t>GE091025</w:t>
            </w:r>
            <w:r w:rsidR="00E6741F">
              <w:rPr>
                <w:color w:val="002060"/>
                <w:sz w:val="22"/>
                <w:szCs w:val="22"/>
              </w:rPr>
              <w:t>-01</w:t>
            </w:r>
            <w:r w:rsidR="00337996">
              <w:rPr>
                <w:color w:val="002060"/>
                <w:sz w:val="22"/>
                <w:szCs w:val="22"/>
              </w:rPr>
              <w:br/>
            </w:r>
            <w:r w:rsidRPr="00F91A6C">
              <w:rPr>
                <w:b/>
                <w:bCs/>
                <w:color w:val="002060"/>
                <w:sz w:val="22"/>
                <w:szCs w:val="22"/>
              </w:rPr>
              <w:t>Prepared by:</w:t>
            </w:r>
            <w:r w:rsidRPr="00F91A6C">
              <w:rPr>
                <w:color w:val="002060"/>
                <w:sz w:val="22"/>
                <w:szCs w:val="22"/>
              </w:rPr>
              <w:t xml:space="preserve"> </w:t>
            </w:r>
            <w:r w:rsidR="00455159" w:rsidRPr="00F91A6C">
              <w:rPr>
                <w:color w:val="002060"/>
                <w:sz w:val="22"/>
                <w:szCs w:val="22"/>
              </w:rPr>
              <w:t>Kimberly Mast</w:t>
            </w:r>
            <w:r w:rsidRPr="00F91A6C">
              <w:rPr>
                <w:sz w:val="22"/>
                <w:szCs w:val="22"/>
              </w:rPr>
              <w:br/>
            </w:r>
          </w:p>
        </w:tc>
      </w:tr>
      <w:tr w:rsidR="007C5EB1" w:rsidRPr="00F91A6C" w14:paraId="2B0BF048" w14:textId="77777777" w:rsidTr="503727F5">
        <w:tc>
          <w:tcPr>
            <w:tcW w:w="5760" w:type="dxa"/>
            <w:tcBorders>
              <w:top w:val="single" w:sz="12" w:space="0" w:color="D9D9D9" w:themeColor="background1" w:themeShade="D9"/>
              <w:left w:val="nil"/>
              <w:bottom w:val="single" w:sz="12" w:space="0" w:color="D9D9D9" w:themeColor="background1" w:themeShade="D9"/>
              <w:right w:val="nil"/>
            </w:tcBorders>
          </w:tcPr>
          <w:p w14:paraId="444EDBD8" w14:textId="0C549E74" w:rsidR="008C72CD" w:rsidRPr="008C72CD" w:rsidRDefault="007C5EB1" w:rsidP="008C72CD">
            <w:pPr>
              <w:tabs>
                <w:tab w:val="left" w:pos="1650"/>
              </w:tabs>
              <w:rPr>
                <w:color w:val="002060"/>
                <w:sz w:val="22"/>
                <w:szCs w:val="22"/>
              </w:rPr>
            </w:pPr>
            <w:r w:rsidRPr="00F91A6C">
              <w:rPr>
                <w:color w:val="002060"/>
                <w:sz w:val="22"/>
                <w:szCs w:val="22"/>
              </w:rPr>
              <w:br/>
            </w:r>
            <w:r w:rsidRPr="00F91A6C">
              <w:rPr>
                <w:b/>
                <w:bCs/>
                <w:color w:val="002060"/>
                <w:sz w:val="22"/>
                <w:szCs w:val="22"/>
              </w:rPr>
              <w:t>Purpose -</w:t>
            </w:r>
            <w:r w:rsidRPr="00F91A6C">
              <w:rPr>
                <w:color w:val="002060"/>
                <w:sz w:val="22"/>
                <w:szCs w:val="22"/>
              </w:rPr>
              <w:t xml:space="preserve"> </w:t>
            </w:r>
            <w:r w:rsidRPr="00F91A6C">
              <w:rPr>
                <w:color w:val="002060"/>
                <w:sz w:val="22"/>
                <w:szCs w:val="22"/>
              </w:rPr>
              <w:br/>
            </w:r>
            <w:r w:rsidR="008C72CD" w:rsidRPr="008C72CD">
              <w:rPr>
                <w:color w:val="002060"/>
                <w:sz w:val="22"/>
                <w:szCs w:val="22"/>
              </w:rPr>
              <w:t xml:space="preserve">This memo formalizes the Quality Assurance (QA) process for reviewing records before uploading them to the File Processing Client app (FPC) for orders in NEXT, or the repository for orders in Oracle. </w:t>
            </w:r>
          </w:p>
          <w:p w14:paraId="2054C596" w14:textId="1B76DA9F" w:rsidR="008C72CD" w:rsidRPr="008C72CD" w:rsidRDefault="008C72CD" w:rsidP="008C72CD">
            <w:pPr>
              <w:rPr>
                <w:color w:val="002060"/>
                <w:sz w:val="22"/>
                <w:szCs w:val="22"/>
              </w:rPr>
            </w:pPr>
            <w:r>
              <w:rPr>
                <w:color w:val="002060"/>
                <w:sz w:val="22"/>
                <w:szCs w:val="22"/>
              </w:rPr>
              <w:t xml:space="preserve"> </w:t>
            </w:r>
          </w:p>
          <w:p w14:paraId="775531E6" w14:textId="6F2CD658" w:rsidR="007C5EB1" w:rsidRPr="00F91A6C" w:rsidRDefault="007C5EB1" w:rsidP="007C5EB1">
            <w:pPr>
              <w:rPr>
                <w:color w:val="002060"/>
                <w:sz w:val="22"/>
                <w:szCs w:val="22"/>
              </w:rPr>
            </w:pPr>
          </w:p>
        </w:tc>
        <w:tc>
          <w:tcPr>
            <w:tcW w:w="5040" w:type="dxa"/>
            <w:tcBorders>
              <w:top w:val="single" w:sz="12" w:space="0" w:color="D9D9D9" w:themeColor="background1" w:themeShade="D9"/>
              <w:left w:val="nil"/>
              <w:bottom w:val="single" w:sz="12" w:space="0" w:color="D9D9D9" w:themeColor="background1" w:themeShade="D9"/>
              <w:right w:val="nil"/>
            </w:tcBorders>
          </w:tcPr>
          <w:p w14:paraId="558F0441" w14:textId="77777777" w:rsidR="008C72CD" w:rsidRPr="008C72CD" w:rsidRDefault="007C5EB1" w:rsidP="008C72CD">
            <w:pPr>
              <w:rPr>
                <w:color w:val="002060"/>
                <w:sz w:val="22"/>
                <w:szCs w:val="22"/>
              </w:rPr>
            </w:pPr>
            <w:r w:rsidRPr="00F91A6C">
              <w:rPr>
                <w:sz w:val="22"/>
                <w:szCs w:val="22"/>
              </w:rPr>
              <w:br/>
            </w:r>
            <w:r w:rsidRPr="00F91A6C">
              <w:rPr>
                <w:b/>
                <w:bCs/>
                <w:color w:val="002060"/>
                <w:sz w:val="22"/>
                <w:szCs w:val="22"/>
              </w:rPr>
              <w:t>Scope –</w:t>
            </w:r>
            <w:r w:rsidRPr="00F91A6C">
              <w:rPr>
                <w:color w:val="002060"/>
                <w:sz w:val="22"/>
                <w:szCs w:val="22"/>
              </w:rPr>
              <w:t xml:space="preserve"> </w:t>
            </w:r>
            <w:r w:rsidR="001D58DB">
              <w:rPr>
                <w:color w:val="002060"/>
                <w:sz w:val="22"/>
                <w:szCs w:val="22"/>
              </w:rPr>
              <w:br/>
            </w:r>
            <w:r w:rsidR="008C72CD" w:rsidRPr="008C72CD">
              <w:rPr>
                <w:color w:val="002060"/>
                <w:sz w:val="22"/>
                <w:szCs w:val="22"/>
              </w:rPr>
              <w:t>All employees who handle records must perform a thorough review before forwarding them to production. While production will conduct a secondary quality control check, the primary responsibility lies with the uploader.</w:t>
            </w:r>
          </w:p>
          <w:p w14:paraId="1A6836D3" w14:textId="6AA3253A" w:rsidR="007C5EB1" w:rsidRPr="00F91A6C" w:rsidRDefault="007C5EB1" w:rsidP="007C5EB1">
            <w:pPr>
              <w:rPr>
                <w:i/>
                <w:iCs/>
                <w:color w:val="002060"/>
                <w:sz w:val="22"/>
                <w:szCs w:val="22"/>
              </w:rPr>
            </w:pPr>
            <w:r w:rsidRPr="00F91A6C">
              <w:rPr>
                <w:sz w:val="22"/>
                <w:szCs w:val="22"/>
              </w:rPr>
              <w:br/>
            </w:r>
          </w:p>
        </w:tc>
      </w:tr>
      <w:tr w:rsidR="00B61024" w:rsidRPr="00F91A6C" w14:paraId="6C4EE05C" w14:textId="77777777" w:rsidTr="503727F5">
        <w:tc>
          <w:tcPr>
            <w:tcW w:w="5760" w:type="dxa"/>
            <w:tcBorders>
              <w:top w:val="single" w:sz="12" w:space="0" w:color="D9D9D9" w:themeColor="background1" w:themeShade="D9"/>
              <w:left w:val="nil"/>
              <w:bottom w:val="single" w:sz="12" w:space="0" w:color="D9D9D9" w:themeColor="background1" w:themeShade="D9"/>
              <w:right w:val="nil"/>
            </w:tcBorders>
          </w:tcPr>
          <w:p w14:paraId="16848ABA" w14:textId="39ADBB56" w:rsidR="00B61024" w:rsidRPr="00F91A6C" w:rsidRDefault="00B61024" w:rsidP="00B61024">
            <w:pPr>
              <w:rPr>
                <w:b/>
                <w:bCs/>
                <w:color w:val="002060"/>
                <w:sz w:val="22"/>
                <w:szCs w:val="22"/>
              </w:rPr>
            </w:pPr>
            <w:r w:rsidRPr="00F91A6C">
              <w:rPr>
                <w:b/>
                <w:bCs/>
                <w:color w:val="002060"/>
                <w:sz w:val="22"/>
                <w:szCs w:val="22"/>
              </w:rPr>
              <w:t xml:space="preserve">Responsibility – </w:t>
            </w:r>
          </w:p>
          <w:p w14:paraId="4DEC532C" w14:textId="1C481647" w:rsidR="00B61024" w:rsidRPr="00F91A6C" w:rsidRDefault="00B61024" w:rsidP="000A7DBF">
            <w:pPr>
              <w:rPr>
                <w:color w:val="002060"/>
                <w:sz w:val="22"/>
                <w:szCs w:val="22"/>
              </w:rPr>
            </w:pPr>
            <w:r w:rsidRPr="00F91A6C">
              <w:rPr>
                <w:color w:val="002060"/>
                <w:sz w:val="22"/>
                <w:szCs w:val="22"/>
              </w:rPr>
              <w:t xml:space="preserve"> </w:t>
            </w:r>
            <w:r w:rsidR="00824316">
              <w:rPr>
                <w:b/>
                <w:bCs/>
                <w:color w:val="002060"/>
                <w:sz w:val="22"/>
                <w:szCs w:val="22"/>
              </w:rPr>
              <w:t>Customer Service, Expediting, Intake, Indexing, anyone receiving and processing records and materials.</w:t>
            </w:r>
            <w:r w:rsidR="00A30B31" w:rsidRPr="00F91A6C">
              <w:rPr>
                <w:b/>
                <w:bCs/>
                <w:color w:val="002060"/>
                <w:sz w:val="22"/>
                <w:szCs w:val="22"/>
              </w:rPr>
              <w:br/>
            </w:r>
            <w:r w:rsidRPr="00F91A6C">
              <w:rPr>
                <w:color w:val="002060"/>
                <w:sz w:val="22"/>
                <w:szCs w:val="22"/>
              </w:rPr>
              <w:t xml:space="preserve">Responsible for adhering to this Standard Operating Procedure (SOP) when </w:t>
            </w:r>
            <w:r w:rsidR="00824316">
              <w:rPr>
                <w:color w:val="002060"/>
                <w:sz w:val="22"/>
                <w:szCs w:val="22"/>
              </w:rPr>
              <w:t>receiving and processing records and materials in response to a records request.</w:t>
            </w:r>
          </w:p>
        </w:tc>
        <w:tc>
          <w:tcPr>
            <w:tcW w:w="5040" w:type="dxa"/>
            <w:tcBorders>
              <w:top w:val="single" w:sz="12" w:space="0" w:color="D9D9D9" w:themeColor="background1" w:themeShade="D9"/>
              <w:left w:val="nil"/>
              <w:bottom w:val="single" w:sz="12" w:space="0" w:color="D9D9D9" w:themeColor="background1" w:themeShade="D9"/>
              <w:right w:val="nil"/>
            </w:tcBorders>
          </w:tcPr>
          <w:p w14:paraId="7E3FAFF9" w14:textId="3D905BFF" w:rsidR="00B61024" w:rsidRPr="00F91A6C" w:rsidRDefault="00B61024" w:rsidP="00B61024">
            <w:pPr>
              <w:rPr>
                <w:color w:val="002060"/>
                <w:sz w:val="22"/>
                <w:szCs w:val="22"/>
              </w:rPr>
            </w:pPr>
            <w:r w:rsidRPr="00F91A6C">
              <w:rPr>
                <w:color w:val="002060"/>
                <w:sz w:val="22"/>
                <w:szCs w:val="22"/>
              </w:rPr>
              <w:br/>
            </w:r>
            <w:r w:rsidRPr="00F91A6C">
              <w:rPr>
                <w:b/>
                <w:bCs/>
                <w:color w:val="002060"/>
                <w:sz w:val="22"/>
                <w:szCs w:val="22"/>
              </w:rPr>
              <w:t>Definitions -</w:t>
            </w:r>
            <w:r w:rsidRPr="00F91A6C">
              <w:rPr>
                <w:color w:val="002060"/>
                <w:sz w:val="22"/>
                <w:szCs w:val="22"/>
              </w:rPr>
              <w:t xml:space="preserve"> </w:t>
            </w:r>
            <w:r w:rsidRPr="00F91A6C">
              <w:rPr>
                <w:color w:val="002060"/>
                <w:sz w:val="22"/>
                <w:szCs w:val="22"/>
              </w:rPr>
              <w:br/>
            </w:r>
            <w:r w:rsidR="00824316">
              <w:rPr>
                <w:color w:val="002060"/>
                <w:sz w:val="22"/>
                <w:szCs w:val="22"/>
              </w:rPr>
              <w:t xml:space="preserve">File Processing Client app (FPC) – the app used to </w:t>
            </w:r>
            <w:r w:rsidR="004F1348">
              <w:rPr>
                <w:color w:val="002060"/>
                <w:sz w:val="22"/>
                <w:szCs w:val="22"/>
              </w:rPr>
              <w:t>upload records for orders in Next.  This will apply a production code and create a production task.</w:t>
            </w:r>
            <w:r w:rsidRPr="00F91A6C">
              <w:rPr>
                <w:color w:val="002060"/>
                <w:sz w:val="22"/>
                <w:szCs w:val="22"/>
              </w:rPr>
              <w:br/>
            </w:r>
          </w:p>
        </w:tc>
      </w:tr>
    </w:tbl>
    <w:p w14:paraId="1BEC842D" w14:textId="283DA3B1" w:rsidR="00C24D09" w:rsidRPr="00C24D09" w:rsidRDefault="003662EB" w:rsidP="00C24D09">
      <w:pPr>
        <w:rPr>
          <w:b/>
          <w:bCs/>
          <w:sz w:val="22"/>
          <w:szCs w:val="22"/>
        </w:rPr>
      </w:pPr>
      <w:r w:rsidRPr="00F91A6C">
        <w:rPr>
          <w:sz w:val="22"/>
          <w:szCs w:val="22"/>
        </w:rPr>
        <w:br/>
      </w:r>
      <w:r w:rsidR="00C24D09" w:rsidRPr="00C24D09">
        <w:rPr>
          <w:b/>
          <w:bCs/>
          <w:sz w:val="22"/>
          <w:szCs w:val="22"/>
        </w:rPr>
        <w:t>Overview</w:t>
      </w:r>
    </w:p>
    <w:p w14:paraId="3C846F48" w14:textId="77777777" w:rsidR="00977E9B" w:rsidRPr="00977E9B" w:rsidRDefault="00977E9B" w:rsidP="00977E9B">
      <w:pPr>
        <w:tabs>
          <w:tab w:val="left" w:pos="1650"/>
        </w:tabs>
        <w:rPr>
          <w:sz w:val="22"/>
          <w:szCs w:val="22"/>
        </w:rPr>
      </w:pPr>
      <w:r w:rsidRPr="00977E9B">
        <w:rPr>
          <w:sz w:val="22"/>
          <w:szCs w:val="22"/>
        </w:rPr>
        <w:t>At Compex and ARS, all records emailed from a custodian must be sent to our designated general production email addresses, not to an individual agent’s personal email. This procedure safeguards our ability to control and secure sensitive materials containing protected personal information and helps prevent violations in the handling of documents.</w:t>
      </w:r>
    </w:p>
    <w:p w14:paraId="18B8FEC1" w14:textId="77777777" w:rsidR="006E33A3" w:rsidRPr="0002653A" w:rsidRDefault="00977E9B" w:rsidP="006E33A3">
      <w:pPr>
        <w:rPr>
          <w:sz w:val="22"/>
          <w:szCs w:val="22"/>
        </w:rPr>
      </w:pPr>
      <w:r w:rsidRPr="00071484">
        <w:rPr>
          <w:sz w:val="22"/>
          <w:szCs w:val="22"/>
        </w:rPr>
        <w:t>We understand that, in the normal course of business, custodians may occasionally choose to send records directly to a specific agent. When this occurs, the following protocols must be followed to prevent violations in document handling, as well as to avoid unnecessary duplication of effort and waste in other departments.</w:t>
      </w:r>
      <w:r w:rsidRPr="00977E9B">
        <w:rPr>
          <w:sz w:val="22"/>
          <w:szCs w:val="22"/>
        </w:rPr>
        <w:br/>
      </w:r>
      <w:r w:rsidRPr="00977E9B">
        <w:rPr>
          <w:sz w:val="22"/>
          <w:szCs w:val="22"/>
        </w:rPr>
        <w:br/>
        <w:t xml:space="preserve">Additionally, our intake and indexing teams should make these adjustments during the normal course of business to ensure consistency across the organization </w:t>
      </w:r>
      <w:r w:rsidRPr="00977E9B">
        <w:rPr>
          <w:sz w:val="22"/>
          <w:szCs w:val="22"/>
        </w:rPr>
        <w:br/>
      </w:r>
      <w:r w:rsidR="00607719" w:rsidRPr="00F91A6C">
        <w:rPr>
          <w:sz w:val="22"/>
          <w:szCs w:val="22"/>
        </w:rPr>
        <w:br/>
      </w:r>
      <w:r w:rsidR="009E4E32" w:rsidRPr="0002653A">
        <w:rPr>
          <w:b/>
          <w:bCs/>
          <w:sz w:val="22"/>
          <w:szCs w:val="22"/>
        </w:rPr>
        <w:t>Step-by-Step Instructions</w:t>
      </w:r>
      <w:r w:rsidR="00C62E21" w:rsidRPr="0002653A">
        <w:rPr>
          <w:b/>
          <w:bCs/>
          <w:sz w:val="22"/>
          <w:szCs w:val="22"/>
        </w:rPr>
        <w:br/>
      </w:r>
      <w:r w:rsidR="006E33A3" w:rsidRPr="0002653A">
        <w:rPr>
          <w:sz w:val="22"/>
          <w:szCs w:val="22"/>
        </w:rPr>
        <w:t>All employees who handle records must perform a thorough review before forwarding them to production. While production will conduct a secondary quality control check, the primary responsibility lies with the uploader.</w:t>
      </w:r>
    </w:p>
    <w:p w14:paraId="0C11DE2D" w14:textId="4A6FAC02" w:rsidR="006E33A3" w:rsidRPr="0002653A" w:rsidRDefault="006E33A3" w:rsidP="006E33A3">
      <w:pPr>
        <w:rPr>
          <w:b/>
          <w:bCs/>
          <w:sz w:val="22"/>
          <w:szCs w:val="22"/>
        </w:rPr>
      </w:pPr>
      <w:r w:rsidRPr="0002653A">
        <w:rPr>
          <w:b/>
          <w:bCs/>
          <w:sz w:val="22"/>
          <w:szCs w:val="22"/>
        </w:rPr>
        <w:t>QA Review Requirements:</w:t>
      </w:r>
      <w:r w:rsidRPr="0002653A">
        <w:rPr>
          <w:b/>
          <w:bCs/>
          <w:sz w:val="22"/>
          <w:szCs w:val="22"/>
        </w:rPr>
        <w:br/>
      </w:r>
      <w:r w:rsidRPr="0002653A">
        <w:rPr>
          <w:sz w:val="22"/>
          <w:szCs w:val="22"/>
        </w:rPr>
        <w:t>Due to the varying length of records, the level of review should correspond to the document’s size</w:t>
      </w:r>
      <w:r w:rsidR="00A824F8">
        <w:rPr>
          <w:sz w:val="22"/>
          <w:szCs w:val="22"/>
        </w:rPr>
        <w:t>.</w:t>
      </w:r>
      <w:r w:rsidRPr="0002653A">
        <w:rPr>
          <w:sz w:val="22"/>
          <w:szCs w:val="22"/>
        </w:rPr>
        <w:br/>
      </w:r>
      <w:r w:rsidRPr="0002653A">
        <w:rPr>
          <w:sz w:val="22"/>
          <w:szCs w:val="22"/>
        </w:rPr>
        <w:br/>
      </w:r>
      <w:r w:rsidR="0002653A">
        <w:rPr>
          <w:b/>
          <w:bCs/>
          <w:sz w:val="22"/>
          <w:szCs w:val="22"/>
        </w:rPr>
        <w:br/>
      </w:r>
      <w:r w:rsidR="0002653A">
        <w:rPr>
          <w:b/>
          <w:bCs/>
          <w:sz w:val="22"/>
          <w:szCs w:val="22"/>
        </w:rPr>
        <w:br/>
      </w:r>
      <w:r w:rsidR="0002653A">
        <w:rPr>
          <w:b/>
          <w:bCs/>
          <w:sz w:val="22"/>
          <w:szCs w:val="22"/>
        </w:rPr>
        <w:lastRenderedPageBreak/>
        <w:br/>
      </w:r>
      <w:r w:rsidRPr="0002653A">
        <w:rPr>
          <w:b/>
          <w:bCs/>
          <w:sz w:val="22"/>
          <w:szCs w:val="22"/>
        </w:rPr>
        <w:t>For all records received:</w:t>
      </w:r>
      <w:r w:rsidRPr="0002653A">
        <w:rPr>
          <w:sz w:val="22"/>
          <w:szCs w:val="22"/>
        </w:rPr>
        <w:t xml:space="preserve"> </w:t>
      </w:r>
      <w:r w:rsidRPr="0002653A">
        <w:rPr>
          <w:sz w:val="22"/>
          <w:szCs w:val="22"/>
        </w:rPr>
        <w:br/>
        <w:t>1. First five pages of records</w:t>
      </w:r>
      <w:r w:rsidRPr="0002653A">
        <w:rPr>
          <w:sz w:val="22"/>
          <w:szCs w:val="22"/>
        </w:rPr>
        <w:br/>
        <w:t>2.  Last five pages of records</w:t>
      </w:r>
      <w:r w:rsidRPr="0002653A">
        <w:rPr>
          <w:sz w:val="22"/>
          <w:szCs w:val="22"/>
        </w:rPr>
        <w:br/>
        <w:t>3. Confirm whether a custodian certification/affidavit is included</w:t>
      </w:r>
      <w:r w:rsidRPr="0002653A">
        <w:rPr>
          <w:sz w:val="22"/>
          <w:szCs w:val="22"/>
        </w:rPr>
        <w:br/>
        <w:t>4. Complete the additional protocol below based on number of pages.</w:t>
      </w:r>
    </w:p>
    <w:tbl>
      <w:tblPr>
        <w:tblW w:w="6440" w:type="dxa"/>
        <w:tblLook w:val="04A0" w:firstRow="1" w:lastRow="0" w:firstColumn="1" w:lastColumn="0" w:noHBand="0" w:noVBand="1"/>
      </w:tblPr>
      <w:tblGrid>
        <w:gridCol w:w="2860"/>
        <w:gridCol w:w="3580"/>
      </w:tblGrid>
      <w:tr w:rsidR="006E33A3" w:rsidRPr="0002653A" w14:paraId="16D6AB7A" w14:textId="77777777" w:rsidTr="00C24D3F">
        <w:trPr>
          <w:trHeight w:val="288"/>
        </w:trPr>
        <w:tc>
          <w:tcPr>
            <w:tcW w:w="286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24851055"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Record Length</w:t>
            </w:r>
          </w:p>
        </w:tc>
        <w:tc>
          <w:tcPr>
            <w:tcW w:w="3580" w:type="dxa"/>
            <w:tcBorders>
              <w:top w:val="single" w:sz="4" w:space="0" w:color="auto"/>
              <w:left w:val="nil"/>
              <w:bottom w:val="single" w:sz="4" w:space="0" w:color="auto"/>
              <w:right w:val="single" w:sz="4" w:space="0" w:color="auto"/>
            </w:tcBorders>
            <w:shd w:val="clear" w:color="000000" w:fill="C0E6F5"/>
            <w:noWrap/>
            <w:vAlign w:val="bottom"/>
            <w:hideMark/>
          </w:tcPr>
          <w:p w14:paraId="1FD05842"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QA Expectation</w:t>
            </w:r>
          </w:p>
        </w:tc>
      </w:tr>
      <w:tr w:rsidR="006E33A3" w:rsidRPr="0002653A" w14:paraId="6689D4B3"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447D3672"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up to 200 pages</w:t>
            </w:r>
          </w:p>
        </w:tc>
        <w:tc>
          <w:tcPr>
            <w:tcW w:w="3580" w:type="dxa"/>
            <w:tcBorders>
              <w:top w:val="nil"/>
              <w:left w:val="nil"/>
              <w:bottom w:val="single" w:sz="4" w:space="0" w:color="auto"/>
              <w:right w:val="single" w:sz="4" w:space="0" w:color="auto"/>
            </w:tcBorders>
            <w:noWrap/>
            <w:vAlign w:val="bottom"/>
            <w:hideMark/>
          </w:tcPr>
          <w:p w14:paraId="129E8610"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page</w:t>
            </w:r>
          </w:p>
        </w:tc>
      </w:tr>
      <w:tr w:rsidR="006E33A3" w:rsidRPr="0002653A" w14:paraId="02EA0458"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50B1BC68"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&gt;200 pages to 500 pages</w:t>
            </w:r>
          </w:p>
        </w:tc>
        <w:tc>
          <w:tcPr>
            <w:tcW w:w="3580" w:type="dxa"/>
            <w:tcBorders>
              <w:top w:val="nil"/>
              <w:left w:val="nil"/>
              <w:bottom w:val="single" w:sz="4" w:space="0" w:color="auto"/>
              <w:right w:val="single" w:sz="4" w:space="0" w:color="auto"/>
            </w:tcBorders>
            <w:noWrap/>
            <w:vAlign w:val="bottom"/>
            <w:hideMark/>
          </w:tcPr>
          <w:p w14:paraId="4D95B267"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 xml:space="preserve">Review every 10th page </w:t>
            </w:r>
          </w:p>
        </w:tc>
      </w:tr>
      <w:tr w:rsidR="006E33A3" w:rsidRPr="0002653A" w14:paraId="32281120"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66B55F29"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&gt;500 pages - 1000 pages</w:t>
            </w:r>
          </w:p>
        </w:tc>
        <w:tc>
          <w:tcPr>
            <w:tcW w:w="3580" w:type="dxa"/>
            <w:tcBorders>
              <w:top w:val="nil"/>
              <w:left w:val="nil"/>
              <w:bottom w:val="single" w:sz="4" w:space="0" w:color="auto"/>
              <w:right w:val="single" w:sz="4" w:space="0" w:color="auto"/>
            </w:tcBorders>
            <w:noWrap/>
            <w:vAlign w:val="bottom"/>
            <w:hideMark/>
          </w:tcPr>
          <w:p w14:paraId="571094C4"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15th page</w:t>
            </w:r>
          </w:p>
        </w:tc>
      </w:tr>
      <w:tr w:rsidR="006E33A3" w:rsidRPr="0002653A" w14:paraId="169ABB29"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4625BE02"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&gt;1000 pages -1500 pages</w:t>
            </w:r>
          </w:p>
        </w:tc>
        <w:tc>
          <w:tcPr>
            <w:tcW w:w="3580" w:type="dxa"/>
            <w:tcBorders>
              <w:top w:val="nil"/>
              <w:left w:val="nil"/>
              <w:bottom w:val="single" w:sz="4" w:space="0" w:color="auto"/>
              <w:right w:val="single" w:sz="4" w:space="0" w:color="auto"/>
            </w:tcBorders>
            <w:noWrap/>
            <w:vAlign w:val="bottom"/>
            <w:hideMark/>
          </w:tcPr>
          <w:p w14:paraId="30F73436"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20th page</w:t>
            </w:r>
          </w:p>
        </w:tc>
      </w:tr>
      <w:tr w:rsidR="006E33A3" w:rsidRPr="0002653A" w14:paraId="23C3D7B7"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490AC892"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&gt;1500 pages -2000 pages</w:t>
            </w:r>
          </w:p>
        </w:tc>
        <w:tc>
          <w:tcPr>
            <w:tcW w:w="3580" w:type="dxa"/>
            <w:tcBorders>
              <w:top w:val="nil"/>
              <w:left w:val="nil"/>
              <w:bottom w:val="single" w:sz="4" w:space="0" w:color="auto"/>
              <w:right w:val="single" w:sz="4" w:space="0" w:color="auto"/>
            </w:tcBorders>
            <w:noWrap/>
            <w:vAlign w:val="bottom"/>
            <w:hideMark/>
          </w:tcPr>
          <w:p w14:paraId="3DBD571D"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25th page</w:t>
            </w:r>
          </w:p>
        </w:tc>
      </w:tr>
      <w:tr w:rsidR="006E33A3" w:rsidRPr="0002653A" w14:paraId="0EB67A76"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2B375BB4"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&gt;2000 pages - 3000 pages</w:t>
            </w:r>
          </w:p>
        </w:tc>
        <w:tc>
          <w:tcPr>
            <w:tcW w:w="3580" w:type="dxa"/>
            <w:tcBorders>
              <w:top w:val="nil"/>
              <w:left w:val="nil"/>
              <w:bottom w:val="single" w:sz="4" w:space="0" w:color="auto"/>
              <w:right w:val="single" w:sz="4" w:space="0" w:color="auto"/>
            </w:tcBorders>
            <w:noWrap/>
            <w:vAlign w:val="bottom"/>
            <w:hideMark/>
          </w:tcPr>
          <w:p w14:paraId="05C5C22A"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30th page</w:t>
            </w:r>
          </w:p>
        </w:tc>
      </w:tr>
      <w:tr w:rsidR="006E33A3" w:rsidRPr="0002653A" w14:paraId="4CDFABEF"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0984B2FF"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&gt;3000 pages - 5000 pages</w:t>
            </w:r>
          </w:p>
        </w:tc>
        <w:tc>
          <w:tcPr>
            <w:tcW w:w="3580" w:type="dxa"/>
            <w:tcBorders>
              <w:top w:val="nil"/>
              <w:left w:val="nil"/>
              <w:bottom w:val="single" w:sz="4" w:space="0" w:color="auto"/>
              <w:right w:val="single" w:sz="4" w:space="0" w:color="auto"/>
            </w:tcBorders>
            <w:noWrap/>
            <w:vAlign w:val="bottom"/>
            <w:hideMark/>
          </w:tcPr>
          <w:p w14:paraId="42D3A7F8"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35th page</w:t>
            </w:r>
          </w:p>
        </w:tc>
      </w:tr>
      <w:tr w:rsidR="006E33A3" w:rsidRPr="0002653A" w14:paraId="7646D628" w14:textId="77777777" w:rsidTr="00C24D3F">
        <w:trPr>
          <w:trHeight w:val="288"/>
        </w:trPr>
        <w:tc>
          <w:tcPr>
            <w:tcW w:w="2860" w:type="dxa"/>
            <w:tcBorders>
              <w:top w:val="nil"/>
              <w:left w:val="single" w:sz="4" w:space="0" w:color="auto"/>
              <w:bottom w:val="single" w:sz="4" w:space="0" w:color="auto"/>
              <w:right w:val="single" w:sz="4" w:space="0" w:color="auto"/>
            </w:tcBorders>
            <w:noWrap/>
            <w:vAlign w:val="bottom"/>
            <w:hideMark/>
          </w:tcPr>
          <w:p w14:paraId="3BD3DDAB"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&gt;5000 pages</w:t>
            </w:r>
          </w:p>
        </w:tc>
        <w:tc>
          <w:tcPr>
            <w:tcW w:w="3580" w:type="dxa"/>
            <w:tcBorders>
              <w:top w:val="nil"/>
              <w:left w:val="nil"/>
              <w:bottom w:val="single" w:sz="4" w:space="0" w:color="auto"/>
              <w:right w:val="single" w:sz="4" w:space="0" w:color="auto"/>
            </w:tcBorders>
            <w:noWrap/>
            <w:vAlign w:val="bottom"/>
            <w:hideMark/>
          </w:tcPr>
          <w:p w14:paraId="49EBCDE6" w14:textId="77777777" w:rsidR="006E33A3" w:rsidRPr="0002653A" w:rsidRDefault="006E33A3" w:rsidP="00C24D3F">
            <w:pPr>
              <w:spacing w:after="0" w:line="240" w:lineRule="auto"/>
              <w:rPr>
                <w:rFonts w:eastAsia="Times New Roman" w:cs="Times New Roman"/>
                <w:color w:val="000000"/>
                <w:kern w:val="0"/>
                <w:sz w:val="22"/>
                <w:szCs w:val="22"/>
                <w14:ligatures w14:val="none"/>
              </w:rPr>
            </w:pPr>
            <w:r w:rsidRPr="0002653A">
              <w:rPr>
                <w:rFonts w:eastAsia="Times New Roman" w:cs="Times New Roman"/>
                <w:color w:val="000000"/>
                <w:kern w:val="0"/>
                <w:sz w:val="22"/>
                <w:szCs w:val="22"/>
                <w14:ligatures w14:val="none"/>
              </w:rPr>
              <w:t>Review every 50th page</w:t>
            </w:r>
          </w:p>
        </w:tc>
      </w:tr>
    </w:tbl>
    <w:p w14:paraId="1692A210" w14:textId="77777777" w:rsidR="006E33A3" w:rsidRPr="0002653A" w:rsidRDefault="006E33A3" w:rsidP="006E33A3">
      <w:pPr>
        <w:rPr>
          <w:sz w:val="22"/>
          <w:szCs w:val="22"/>
        </w:rPr>
      </w:pPr>
    </w:p>
    <w:p w14:paraId="125FF816" w14:textId="77777777" w:rsidR="006E33A3" w:rsidRPr="0002653A" w:rsidRDefault="006E33A3" w:rsidP="006E33A3">
      <w:pPr>
        <w:rPr>
          <w:sz w:val="22"/>
          <w:szCs w:val="22"/>
        </w:rPr>
      </w:pPr>
      <w:r w:rsidRPr="0002653A">
        <w:rPr>
          <w:b/>
          <w:bCs/>
          <w:sz w:val="22"/>
          <w:szCs w:val="22"/>
        </w:rPr>
        <w:t>Elements to Review on Each Page</w:t>
      </w:r>
      <w:r w:rsidRPr="0002653A">
        <w:rPr>
          <w:sz w:val="22"/>
          <w:szCs w:val="22"/>
        </w:rPr>
        <w:t>:</w:t>
      </w:r>
    </w:p>
    <w:p w14:paraId="06BD2748" w14:textId="77777777" w:rsidR="006E33A3" w:rsidRPr="0002653A" w:rsidRDefault="006E33A3" w:rsidP="006E33A3">
      <w:pPr>
        <w:spacing w:after="0"/>
        <w:rPr>
          <w:sz w:val="22"/>
          <w:szCs w:val="22"/>
        </w:rPr>
      </w:pPr>
      <w:r w:rsidRPr="0002653A">
        <w:rPr>
          <w:sz w:val="22"/>
          <w:szCs w:val="22"/>
        </w:rPr>
        <w:t>When performing a review, please ensure the following</w:t>
      </w:r>
    </w:p>
    <w:tbl>
      <w:tblPr>
        <w:tblW w:w="6513" w:type="dxa"/>
        <w:tblLook w:val="04A0" w:firstRow="1" w:lastRow="0" w:firstColumn="1" w:lastColumn="0" w:noHBand="0" w:noVBand="1"/>
      </w:tblPr>
      <w:tblGrid>
        <w:gridCol w:w="6513"/>
      </w:tblGrid>
      <w:tr w:rsidR="006E33A3" w:rsidRPr="0002653A" w14:paraId="62028BBA" w14:textId="77777777" w:rsidTr="00C24D3F">
        <w:trPr>
          <w:trHeight w:val="288"/>
        </w:trPr>
        <w:tc>
          <w:tcPr>
            <w:tcW w:w="6513" w:type="dxa"/>
            <w:tcBorders>
              <w:top w:val="nil"/>
              <w:left w:val="nil"/>
              <w:bottom w:val="nil"/>
              <w:right w:val="nil"/>
            </w:tcBorders>
            <w:noWrap/>
            <w:vAlign w:val="bottom"/>
            <w:hideMark/>
          </w:tcPr>
          <w:p w14:paraId="2198ACFB" w14:textId="77777777" w:rsidR="006E33A3" w:rsidRPr="0002653A" w:rsidRDefault="006E33A3" w:rsidP="006E33A3">
            <w:pPr>
              <w:pStyle w:val="ListParagraph"/>
              <w:numPr>
                <w:ilvl w:val="0"/>
                <w:numId w:val="5"/>
              </w:numPr>
              <w:spacing w:after="0"/>
              <w:rPr>
                <w:sz w:val="22"/>
                <w:szCs w:val="22"/>
              </w:rPr>
            </w:pPr>
            <w:r w:rsidRPr="0002653A">
              <w:rPr>
                <w:sz w:val="22"/>
                <w:szCs w:val="22"/>
              </w:rPr>
              <w:t xml:space="preserve">Correct </w:t>
            </w:r>
            <w:r w:rsidRPr="0002653A">
              <w:rPr>
                <w:b/>
                <w:bCs/>
                <w:sz w:val="22"/>
                <w:szCs w:val="22"/>
              </w:rPr>
              <w:t>patient name, checking against an AKA if available.</w:t>
            </w:r>
          </w:p>
          <w:p w14:paraId="7930D905" w14:textId="77777777" w:rsidR="006E33A3" w:rsidRPr="0002653A" w:rsidRDefault="006E33A3" w:rsidP="006E33A3">
            <w:pPr>
              <w:pStyle w:val="ListParagraph"/>
              <w:numPr>
                <w:ilvl w:val="0"/>
                <w:numId w:val="5"/>
              </w:numPr>
              <w:spacing w:after="0"/>
              <w:rPr>
                <w:sz w:val="22"/>
                <w:szCs w:val="22"/>
              </w:rPr>
            </w:pPr>
            <w:r w:rsidRPr="0002653A">
              <w:rPr>
                <w:b/>
                <w:bCs/>
                <w:sz w:val="22"/>
                <w:szCs w:val="22"/>
              </w:rPr>
              <w:t>Location Name</w:t>
            </w:r>
            <w:r w:rsidRPr="0002653A">
              <w:rPr>
                <w:sz w:val="22"/>
                <w:szCs w:val="22"/>
              </w:rPr>
              <w:t>, is this the correct location</w:t>
            </w:r>
          </w:p>
        </w:tc>
      </w:tr>
      <w:tr w:rsidR="006E33A3" w:rsidRPr="0002653A" w14:paraId="0F82D43B" w14:textId="77777777" w:rsidTr="00C24D3F">
        <w:trPr>
          <w:trHeight w:val="288"/>
        </w:trPr>
        <w:tc>
          <w:tcPr>
            <w:tcW w:w="6513" w:type="dxa"/>
            <w:tcBorders>
              <w:top w:val="nil"/>
              <w:left w:val="nil"/>
              <w:bottom w:val="nil"/>
              <w:right w:val="nil"/>
            </w:tcBorders>
            <w:noWrap/>
            <w:vAlign w:val="bottom"/>
            <w:hideMark/>
          </w:tcPr>
          <w:p w14:paraId="16B7429A" w14:textId="77777777" w:rsidR="006E33A3" w:rsidRPr="0002653A" w:rsidRDefault="006E33A3" w:rsidP="006E33A3">
            <w:pPr>
              <w:pStyle w:val="ListParagraph"/>
              <w:numPr>
                <w:ilvl w:val="0"/>
                <w:numId w:val="5"/>
              </w:numPr>
              <w:spacing w:after="0"/>
              <w:rPr>
                <w:sz w:val="22"/>
                <w:szCs w:val="22"/>
              </w:rPr>
            </w:pPr>
            <w:r w:rsidRPr="0002653A">
              <w:rPr>
                <w:sz w:val="22"/>
                <w:szCs w:val="22"/>
              </w:rPr>
              <w:t xml:space="preserve">Correct </w:t>
            </w:r>
            <w:r w:rsidRPr="0002653A">
              <w:rPr>
                <w:b/>
                <w:bCs/>
                <w:sz w:val="22"/>
                <w:szCs w:val="22"/>
              </w:rPr>
              <w:t>order location</w:t>
            </w:r>
            <w:r w:rsidRPr="0002653A">
              <w:rPr>
                <w:sz w:val="22"/>
                <w:szCs w:val="22"/>
              </w:rPr>
              <w:t xml:space="preserve"> (record type and order type match)</w:t>
            </w:r>
          </w:p>
        </w:tc>
      </w:tr>
      <w:tr w:rsidR="006E33A3" w:rsidRPr="0002653A" w14:paraId="16E8F93B" w14:textId="77777777" w:rsidTr="00C24D3F">
        <w:trPr>
          <w:trHeight w:val="288"/>
        </w:trPr>
        <w:tc>
          <w:tcPr>
            <w:tcW w:w="6513" w:type="dxa"/>
            <w:tcBorders>
              <w:top w:val="nil"/>
              <w:left w:val="nil"/>
              <w:bottom w:val="nil"/>
              <w:right w:val="nil"/>
            </w:tcBorders>
            <w:noWrap/>
            <w:vAlign w:val="bottom"/>
            <w:hideMark/>
          </w:tcPr>
          <w:p w14:paraId="29149D72" w14:textId="77777777" w:rsidR="006E33A3" w:rsidRPr="0002653A" w:rsidRDefault="006E33A3" w:rsidP="006E33A3">
            <w:pPr>
              <w:pStyle w:val="ListParagraph"/>
              <w:numPr>
                <w:ilvl w:val="0"/>
                <w:numId w:val="5"/>
              </w:numPr>
              <w:spacing w:after="0"/>
              <w:rPr>
                <w:sz w:val="22"/>
                <w:szCs w:val="22"/>
              </w:rPr>
            </w:pPr>
            <w:r w:rsidRPr="0002653A">
              <w:rPr>
                <w:sz w:val="22"/>
                <w:szCs w:val="22"/>
              </w:rPr>
              <w:t xml:space="preserve">Correct </w:t>
            </w:r>
            <w:r w:rsidRPr="0002653A">
              <w:rPr>
                <w:b/>
                <w:bCs/>
                <w:sz w:val="22"/>
                <w:szCs w:val="22"/>
              </w:rPr>
              <w:t>SS</w:t>
            </w:r>
            <w:r w:rsidRPr="0002653A">
              <w:rPr>
                <w:sz w:val="22"/>
                <w:szCs w:val="22"/>
              </w:rPr>
              <w:t xml:space="preserve">N or </w:t>
            </w:r>
            <w:r w:rsidRPr="0002653A">
              <w:rPr>
                <w:b/>
                <w:bCs/>
                <w:sz w:val="22"/>
                <w:szCs w:val="22"/>
              </w:rPr>
              <w:t>DOB</w:t>
            </w:r>
          </w:p>
        </w:tc>
      </w:tr>
      <w:tr w:rsidR="006E33A3" w:rsidRPr="0002653A" w14:paraId="6919D57C" w14:textId="77777777" w:rsidTr="00C24D3F">
        <w:trPr>
          <w:trHeight w:val="288"/>
        </w:trPr>
        <w:tc>
          <w:tcPr>
            <w:tcW w:w="6513" w:type="dxa"/>
            <w:tcBorders>
              <w:top w:val="nil"/>
              <w:left w:val="nil"/>
              <w:bottom w:val="nil"/>
              <w:right w:val="nil"/>
            </w:tcBorders>
            <w:noWrap/>
            <w:vAlign w:val="bottom"/>
            <w:hideMark/>
          </w:tcPr>
          <w:p w14:paraId="02AE059C" w14:textId="77777777" w:rsidR="006E33A3" w:rsidRPr="0002653A" w:rsidRDefault="006E33A3" w:rsidP="006E33A3">
            <w:pPr>
              <w:pStyle w:val="ListParagraph"/>
              <w:numPr>
                <w:ilvl w:val="0"/>
                <w:numId w:val="5"/>
              </w:numPr>
              <w:spacing w:after="0"/>
              <w:rPr>
                <w:sz w:val="22"/>
                <w:szCs w:val="22"/>
              </w:rPr>
            </w:pPr>
            <w:r w:rsidRPr="0002653A">
              <w:rPr>
                <w:b/>
                <w:bCs/>
                <w:sz w:val="22"/>
                <w:szCs w:val="22"/>
              </w:rPr>
              <w:t>Page numbers</w:t>
            </w:r>
            <w:r w:rsidRPr="0002653A">
              <w:rPr>
                <w:sz w:val="22"/>
                <w:szCs w:val="22"/>
              </w:rPr>
              <w:t xml:space="preserve"> are sequential and aligned</w:t>
            </w:r>
          </w:p>
        </w:tc>
      </w:tr>
      <w:tr w:rsidR="006E33A3" w:rsidRPr="0002653A" w14:paraId="27342991" w14:textId="77777777" w:rsidTr="00C24D3F">
        <w:trPr>
          <w:trHeight w:val="288"/>
        </w:trPr>
        <w:tc>
          <w:tcPr>
            <w:tcW w:w="6513" w:type="dxa"/>
            <w:tcBorders>
              <w:top w:val="nil"/>
              <w:left w:val="nil"/>
              <w:bottom w:val="nil"/>
              <w:right w:val="nil"/>
            </w:tcBorders>
            <w:noWrap/>
            <w:vAlign w:val="bottom"/>
            <w:hideMark/>
          </w:tcPr>
          <w:p w14:paraId="1F1FEF83" w14:textId="77777777" w:rsidR="006E33A3" w:rsidRPr="0002653A" w:rsidRDefault="006E33A3" w:rsidP="006E33A3">
            <w:pPr>
              <w:pStyle w:val="ListParagraph"/>
              <w:numPr>
                <w:ilvl w:val="0"/>
                <w:numId w:val="5"/>
              </w:numPr>
              <w:spacing w:after="0"/>
              <w:rPr>
                <w:sz w:val="22"/>
                <w:szCs w:val="22"/>
              </w:rPr>
            </w:pPr>
            <w:r w:rsidRPr="0002653A">
              <w:rPr>
                <w:b/>
                <w:bCs/>
                <w:sz w:val="22"/>
                <w:szCs w:val="22"/>
              </w:rPr>
              <w:t xml:space="preserve">Page orientation </w:t>
            </w:r>
            <w:r w:rsidRPr="0002653A">
              <w:rPr>
                <w:sz w:val="22"/>
                <w:szCs w:val="22"/>
              </w:rPr>
              <w:t>is correct (not upside down or rotated)</w:t>
            </w:r>
          </w:p>
        </w:tc>
      </w:tr>
      <w:tr w:rsidR="006E33A3" w:rsidRPr="0002653A" w14:paraId="768BD508" w14:textId="77777777" w:rsidTr="00C24D3F">
        <w:trPr>
          <w:trHeight w:val="288"/>
        </w:trPr>
        <w:tc>
          <w:tcPr>
            <w:tcW w:w="6513" w:type="dxa"/>
            <w:tcBorders>
              <w:top w:val="nil"/>
              <w:left w:val="nil"/>
              <w:bottom w:val="nil"/>
              <w:right w:val="nil"/>
            </w:tcBorders>
            <w:noWrap/>
            <w:vAlign w:val="bottom"/>
            <w:hideMark/>
          </w:tcPr>
          <w:p w14:paraId="172B6344" w14:textId="77777777" w:rsidR="006E33A3" w:rsidRPr="0002653A" w:rsidRDefault="006E33A3" w:rsidP="006E33A3">
            <w:pPr>
              <w:pStyle w:val="ListParagraph"/>
              <w:numPr>
                <w:ilvl w:val="0"/>
                <w:numId w:val="5"/>
              </w:numPr>
              <w:spacing w:after="0"/>
              <w:rPr>
                <w:sz w:val="22"/>
                <w:szCs w:val="22"/>
              </w:rPr>
            </w:pPr>
            <w:r w:rsidRPr="0002653A">
              <w:rPr>
                <w:b/>
                <w:bCs/>
                <w:sz w:val="22"/>
                <w:szCs w:val="22"/>
              </w:rPr>
              <w:t xml:space="preserve">Legibility </w:t>
            </w:r>
            <w:r w:rsidRPr="0002653A">
              <w:rPr>
                <w:sz w:val="22"/>
                <w:szCs w:val="22"/>
              </w:rPr>
              <w:t>of text (font quality, resolution)</w:t>
            </w:r>
          </w:p>
        </w:tc>
      </w:tr>
      <w:tr w:rsidR="006E33A3" w:rsidRPr="0002653A" w14:paraId="4538AEF5" w14:textId="77777777" w:rsidTr="00C24D3F">
        <w:trPr>
          <w:trHeight w:val="288"/>
        </w:trPr>
        <w:tc>
          <w:tcPr>
            <w:tcW w:w="6513" w:type="dxa"/>
            <w:tcBorders>
              <w:top w:val="nil"/>
              <w:left w:val="nil"/>
              <w:bottom w:val="nil"/>
              <w:right w:val="nil"/>
            </w:tcBorders>
            <w:noWrap/>
            <w:vAlign w:val="bottom"/>
            <w:hideMark/>
          </w:tcPr>
          <w:p w14:paraId="6D788FFC" w14:textId="77777777" w:rsidR="006E33A3" w:rsidRPr="0002653A" w:rsidRDefault="006E33A3" w:rsidP="006E33A3">
            <w:pPr>
              <w:pStyle w:val="ListParagraph"/>
              <w:numPr>
                <w:ilvl w:val="0"/>
                <w:numId w:val="5"/>
              </w:numPr>
              <w:spacing w:after="0"/>
              <w:rPr>
                <w:sz w:val="22"/>
                <w:szCs w:val="22"/>
              </w:rPr>
            </w:pPr>
            <w:r w:rsidRPr="0002653A">
              <w:rPr>
                <w:b/>
                <w:bCs/>
                <w:sz w:val="22"/>
                <w:szCs w:val="22"/>
              </w:rPr>
              <w:t>Affidavit</w:t>
            </w:r>
            <w:r w:rsidRPr="0002653A">
              <w:rPr>
                <w:sz w:val="22"/>
                <w:szCs w:val="22"/>
              </w:rPr>
              <w:t xml:space="preserve"> is from correct location and for correct patient</w:t>
            </w:r>
          </w:p>
        </w:tc>
      </w:tr>
      <w:tr w:rsidR="006E33A3" w:rsidRPr="0002653A" w14:paraId="3694A227" w14:textId="77777777" w:rsidTr="00C24D3F">
        <w:trPr>
          <w:trHeight w:val="288"/>
        </w:trPr>
        <w:tc>
          <w:tcPr>
            <w:tcW w:w="6513" w:type="dxa"/>
            <w:tcBorders>
              <w:top w:val="nil"/>
              <w:left w:val="nil"/>
              <w:bottom w:val="nil"/>
              <w:right w:val="nil"/>
            </w:tcBorders>
            <w:noWrap/>
            <w:vAlign w:val="bottom"/>
            <w:hideMark/>
          </w:tcPr>
          <w:p w14:paraId="2A9CC2F3" w14:textId="77777777" w:rsidR="006E33A3" w:rsidRPr="0002653A" w:rsidRDefault="006E33A3" w:rsidP="006E33A3">
            <w:pPr>
              <w:pStyle w:val="ListParagraph"/>
              <w:numPr>
                <w:ilvl w:val="0"/>
                <w:numId w:val="5"/>
              </w:numPr>
              <w:spacing w:after="0"/>
              <w:rPr>
                <w:sz w:val="22"/>
                <w:szCs w:val="22"/>
              </w:rPr>
            </w:pPr>
            <w:r w:rsidRPr="0002653A">
              <w:rPr>
                <w:b/>
                <w:bCs/>
                <w:sz w:val="22"/>
                <w:szCs w:val="22"/>
              </w:rPr>
              <w:t>Record content is within scope</w:t>
            </w:r>
            <w:r w:rsidRPr="0002653A">
              <w:rPr>
                <w:sz w:val="22"/>
                <w:szCs w:val="22"/>
              </w:rPr>
              <w:t xml:space="preserve"> of the order/request and the correct order type </w:t>
            </w:r>
          </w:p>
          <w:p w14:paraId="5AEFA4DD" w14:textId="77777777" w:rsidR="006E33A3" w:rsidRPr="0002653A" w:rsidRDefault="006E33A3" w:rsidP="006E33A3">
            <w:pPr>
              <w:pStyle w:val="ListParagraph"/>
              <w:numPr>
                <w:ilvl w:val="0"/>
                <w:numId w:val="5"/>
              </w:numPr>
              <w:spacing w:after="0"/>
              <w:rPr>
                <w:sz w:val="22"/>
                <w:szCs w:val="22"/>
              </w:rPr>
            </w:pPr>
            <w:r w:rsidRPr="0002653A">
              <w:rPr>
                <w:sz w:val="22"/>
                <w:szCs w:val="22"/>
              </w:rPr>
              <w:t>Records are</w:t>
            </w:r>
            <w:r w:rsidRPr="0002653A">
              <w:rPr>
                <w:b/>
                <w:bCs/>
                <w:sz w:val="22"/>
                <w:szCs w:val="22"/>
              </w:rPr>
              <w:t xml:space="preserve"> not duplicative </w:t>
            </w:r>
            <w:r w:rsidRPr="0002653A">
              <w:rPr>
                <w:sz w:val="22"/>
                <w:szCs w:val="22"/>
              </w:rPr>
              <w:t>to ones already tagged to the order</w:t>
            </w:r>
          </w:p>
        </w:tc>
      </w:tr>
      <w:tr w:rsidR="006E33A3" w:rsidRPr="0002653A" w14:paraId="24B5CB2E" w14:textId="77777777" w:rsidTr="00C24D3F">
        <w:trPr>
          <w:trHeight w:val="288"/>
        </w:trPr>
        <w:tc>
          <w:tcPr>
            <w:tcW w:w="6513" w:type="dxa"/>
            <w:tcBorders>
              <w:top w:val="nil"/>
              <w:left w:val="nil"/>
              <w:bottom w:val="nil"/>
              <w:right w:val="nil"/>
            </w:tcBorders>
            <w:noWrap/>
            <w:vAlign w:val="bottom"/>
            <w:hideMark/>
          </w:tcPr>
          <w:p w14:paraId="7F1D9346" w14:textId="77777777" w:rsidR="006E33A3" w:rsidRPr="0002653A" w:rsidRDefault="006E33A3" w:rsidP="006E33A3">
            <w:pPr>
              <w:pStyle w:val="ListParagraph"/>
              <w:numPr>
                <w:ilvl w:val="0"/>
                <w:numId w:val="5"/>
              </w:numPr>
              <w:spacing w:after="0"/>
              <w:rPr>
                <w:sz w:val="22"/>
                <w:szCs w:val="22"/>
              </w:rPr>
            </w:pPr>
            <w:r w:rsidRPr="0002653A">
              <w:rPr>
                <w:sz w:val="22"/>
                <w:szCs w:val="22"/>
              </w:rPr>
              <w:t xml:space="preserve">For </w:t>
            </w:r>
            <w:r w:rsidRPr="0002653A">
              <w:rPr>
                <w:b/>
                <w:bCs/>
                <w:sz w:val="22"/>
                <w:szCs w:val="22"/>
              </w:rPr>
              <w:t>TX</w:t>
            </w:r>
            <w:r w:rsidRPr="0002653A">
              <w:rPr>
                <w:sz w:val="22"/>
                <w:szCs w:val="22"/>
              </w:rPr>
              <w:t>: DWQs must be included, complete, notarized and notary’s stamp not expired</w:t>
            </w:r>
          </w:p>
          <w:p w14:paraId="2CA7CDDB" w14:textId="019418F9" w:rsidR="006E33A3" w:rsidRPr="0002653A" w:rsidRDefault="006E33A3" w:rsidP="006E33A3">
            <w:pPr>
              <w:pStyle w:val="ListParagraph"/>
              <w:numPr>
                <w:ilvl w:val="0"/>
                <w:numId w:val="5"/>
              </w:numPr>
              <w:spacing w:after="0"/>
              <w:rPr>
                <w:sz w:val="22"/>
                <w:szCs w:val="22"/>
              </w:rPr>
            </w:pPr>
            <w:r w:rsidRPr="0002653A">
              <w:rPr>
                <w:sz w:val="22"/>
                <w:szCs w:val="22"/>
              </w:rPr>
              <w:t>Is an invoice included that requires payment</w:t>
            </w:r>
            <w:r w:rsidR="0090158A" w:rsidRPr="0002653A">
              <w:rPr>
                <w:sz w:val="22"/>
                <w:szCs w:val="22"/>
              </w:rPr>
              <w:br/>
            </w:r>
          </w:p>
          <w:p w14:paraId="3C9113EA" w14:textId="77777777" w:rsidR="006E33A3" w:rsidRPr="0002653A" w:rsidRDefault="006E33A3" w:rsidP="00C24D3F">
            <w:pPr>
              <w:spacing w:after="0"/>
              <w:rPr>
                <w:sz w:val="22"/>
                <w:szCs w:val="22"/>
              </w:rPr>
            </w:pPr>
          </w:p>
        </w:tc>
      </w:tr>
    </w:tbl>
    <w:p w14:paraId="6D406F03" w14:textId="45F09CB2" w:rsidR="006E33A3" w:rsidRPr="0002653A" w:rsidRDefault="006E33A3" w:rsidP="006E33A3">
      <w:pPr>
        <w:rPr>
          <w:b/>
          <w:bCs/>
          <w:sz w:val="22"/>
          <w:szCs w:val="22"/>
        </w:rPr>
      </w:pPr>
      <w:r w:rsidRPr="0002653A">
        <w:rPr>
          <w:b/>
          <w:bCs/>
          <w:sz w:val="22"/>
          <w:szCs w:val="22"/>
        </w:rPr>
        <w:t xml:space="preserve">Process Records: </w:t>
      </w:r>
      <w:r w:rsidRPr="0002653A">
        <w:rPr>
          <w:b/>
          <w:bCs/>
          <w:sz w:val="22"/>
          <w:szCs w:val="22"/>
        </w:rPr>
        <w:br/>
      </w:r>
      <w:r w:rsidRPr="009A31B7">
        <w:rPr>
          <w:b/>
          <w:bCs/>
          <w:sz w:val="22"/>
          <w:szCs w:val="22"/>
        </w:rPr>
        <w:t>Next:</w:t>
      </w:r>
      <w:r w:rsidRPr="0002653A">
        <w:rPr>
          <w:sz w:val="22"/>
          <w:szCs w:val="22"/>
        </w:rPr>
        <w:t xml:space="preserve"> Submit through FPC app and confirm that it was successful.</w:t>
      </w:r>
      <w:r w:rsidRPr="0002653A">
        <w:rPr>
          <w:b/>
          <w:bCs/>
          <w:sz w:val="22"/>
          <w:szCs w:val="22"/>
        </w:rPr>
        <w:br/>
        <w:t xml:space="preserve">Oracle: </w:t>
      </w:r>
      <w:r w:rsidRPr="0002653A">
        <w:rPr>
          <w:sz w:val="22"/>
          <w:szCs w:val="22"/>
        </w:rPr>
        <w:t xml:space="preserve">Upload to the </w:t>
      </w:r>
      <w:r w:rsidR="0090158A" w:rsidRPr="0002653A">
        <w:rPr>
          <w:sz w:val="22"/>
          <w:szCs w:val="22"/>
        </w:rPr>
        <w:t>ShareFile</w:t>
      </w:r>
      <w:r w:rsidRPr="0002653A">
        <w:rPr>
          <w:sz w:val="22"/>
          <w:szCs w:val="22"/>
        </w:rPr>
        <w:t xml:space="preserve"> folder.</w:t>
      </w:r>
      <w:r w:rsidRPr="0002653A">
        <w:rPr>
          <w:b/>
          <w:bCs/>
          <w:sz w:val="22"/>
          <w:szCs w:val="22"/>
        </w:rPr>
        <w:br/>
      </w:r>
      <w:r w:rsidRPr="0002653A">
        <w:rPr>
          <w:b/>
          <w:bCs/>
          <w:sz w:val="22"/>
          <w:szCs w:val="22"/>
        </w:rPr>
        <w:br/>
      </w:r>
      <w:r w:rsidR="009A31B7">
        <w:rPr>
          <w:b/>
          <w:bCs/>
          <w:sz w:val="22"/>
          <w:szCs w:val="22"/>
        </w:rPr>
        <w:br/>
      </w:r>
      <w:r w:rsidR="009A31B7">
        <w:rPr>
          <w:b/>
          <w:bCs/>
          <w:sz w:val="22"/>
          <w:szCs w:val="22"/>
        </w:rPr>
        <w:br/>
      </w:r>
      <w:r w:rsidR="009A31B7">
        <w:rPr>
          <w:b/>
          <w:bCs/>
          <w:sz w:val="22"/>
          <w:szCs w:val="22"/>
        </w:rPr>
        <w:br/>
      </w:r>
      <w:r w:rsidR="009A31B7">
        <w:rPr>
          <w:b/>
          <w:bCs/>
          <w:sz w:val="22"/>
          <w:szCs w:val="22"/>
        </w:rPr>
        <w:lastRenderedPageBreak/>
        <w:br/>
      </w:r>
      <w:r w:rsidRPr="0002653A">
        <w:rPr>
          <w:b/>
          <w:bCs/>
          <w:sz w:val="22"/>
          <w:szCs w:val="22"/>
        </w:rPr>
        <w:t xml:space="preserve">For Customer Service and Expediting </w:t>
      </w:r>
      <w:r w:rsidRPr="0002653A">
        <w:rPr>
          <w:b/>
          <w:bCs/>
          <w:sz w:val="22"/>
          <w:szCs w:val="22"/>
          <w:u w:val="single"/>
        </w:rPr>
        <w:t>only</w:t>
      </w:r>
      <w:r w:rsidR="0090158A" w:rsidRPr="0002653A">
        <w:rPr>
          <w:b/>
          <w:bCs/>
          <w:sz w:val="22"/>
          <w:szCs w:val="22"/>
        </w:rPr>
        <w:t xml:space="preserve"> and</w:t>
      </w:r>
      <w:r w:rsidRPr="0002653A">
        <w:rPr>
          <w:b/>
          <w:bCs/>
          <w:sz w:val="22"/>
          <w:szCs w:val="22"/>
        </w:rPr>
        <w:t xml:space="preserve"> </w:t>
      </w:r>
      <w:r w:rsidR="0090158A" w:rsidRPr="0002653A">
        <w:rPr>
          <w:b/>
          <w:bCs/>
          <w:sz w:val="22"/>
          <w:szCs w:val="22"/>
        </w:rPr>
        <w:t>after</w:t>
      </w:r>
      <w:r w:rsidRPr="0002653A">
        <w:rPr>
          <w:b/>
          <w:bCs/>
          <w:sz w:val="22"/>
          <w:szCs w:val="22"/>
        </w:rPr>
        <w:t xml:space="preserve"> uploading records: </w:t>
      </w:r>
      <w:r w:rsidR="002C2B3C">
        <w:rPr>
          <w:b/>
          <w:bCs/>
          <w:sz w:val="22"/>
          <w:szCs w:val="22"/>
        </w:rPr>
        <w:br/>
      </w:r>
      <w:r w:rsidRPr="0002653A">
        <w:rPr>
          <w:b/>
          <w:bCs/>
          <w:sz w:val="22"/>
          <w:szCs w:val="22"/>
        </w:rPr>
        <w:t xml:space="preserve"> </w:t>
      </w:r>
      <w:r w:rsidRPr="0002653A">
        <w:rPr>
          <w:b/>
          <w:bCs/>
          <w:sz w:val="22"/>
          <w:szCs w:val="22"/>
        </w:rPr>
        <w:br/>
        <w:t xml:space="preserve">              Oracle orders:</w:t>
      </w:r>
      <w:r w:rsidRPr="0002653A">
        <w:rPr>
          <w:sz w:val="22"/>
          <w:szCs w:val="22"/>
        </w:rPr>
        <w:t xml:space="preserve">  </w:t>
      </w:r>
      <w:r w:rsidRPr="0002653A">
        <w:rPr>
          <w:sz w:val="22"/>
          <w:szCs w:val="22"/>
        </w:rPr>
        <w:br/>
        <w:t xml:space="preserve">              Add a </w:t>
      </w:r>
      <w:r w:rsidRPr="0002653A">
        <w:rPr>
          <w:b/>
          <w:bCs/>
          <w:sz w:val="22"/>
          <w:szCs w:val="22"/>
        </w:rPr>
        <w:t xml:space="preserve">status, set the SB code as SB39 Production Inquiry, and set a call back for 4 business days.  </w:t>
      </w:r>
      <w:r w:rsidRPr="0002653A">
        <w:rPr>
          <w:b/>
          <w:bCs/>
          <w:sz w:val="22"/>
          <w:szCs w:val="22"/>
        </w:rPr>
        <w:br/>
        <w:t xml:space="preserve">              Include the following in the status:</w:t>
      </w:r>
    </w:p>
    <w:p w14:paraId="5BEFB4FB" w14:textId="77777777" w:rsidR="006E33A3" w:rsidRPr="0002653A" w:rsidRDefault="006E33A3" w:rsidP="006E33A3">
      <w:pPr>
        <w:pStyle w:val="ListParagraph"/>
        <w:numPr>
          <w:ilvl w:val="1"/>
          <w:numId w:val="6"/>
        </w:numPr>
        <w:rPr>
          <w:sz w:val="22"/>
          <w:szCs w:val="22"/>
        </w:rPr>
      </w:pPr>
      <w:r w:rsidRPr="0002653A">
        <w:rPr>
          <w:sz w:val="22"/>
          <w:szCs w:val="22"/>
        </w:rPr>
        <w:t xml:space="preserve">Total number of </w:t>
      </w:r>
      <w:r w:rsidRPr="0002653A">
        <w:rPr>
          <w:b/>
          <w:bCs/>
          <w:sz w:val="22"/>
          <w:szCs w:val="22"/>
        </w:rPr>
        <w:t>pages</w:t>
      </w:r>
    </w:p>
    <w:p w14:paraId="15FEFACC" w14:textId="77777777" w:rsidR="006E33A3" w:rsidRPr="0002653A" w:rsidRDefault="006E33A3" w:rsidP="006E33A3">
      <w:pPr>
        <w:pStyle w:val="ListParagraph"/>
        <w:numPr>
          <w:ilvl w:val="1"/>
          <w:numId w:val="6"/>
        </w:numPr>
        <w:rPr>
          <w:sz w:val="22"/>
          <w:szCs w:val="22"/>
        </w:rPr>
      </w:pPr>
      <w:r w:rsidRPr="0002653A">
        <w:rPr>
          <w:b/>
          <w:bCs/>
          <w:sz w:val="22"/>
          <w:szCs w:val="22"/>
        </w:rPr>
        <w:t xml:space="preserve">Type </w:t>
      </w:r>
      <w:r w:rsidRPr="0002653A">
        <w:rPr>
          <w:sz w:val="22"/>
          <w:szCs w:val="22"/>
        </w:rPr>
        <w:t>of records and whether there is additional record types needed</w:t>
      </w:r>
    </w:p>
    <w:p w14:paraId="71E81004" w14:textId="77777777" w:rsidR="006E33A3" w:rsidRPr="0002653A" w:rsidRDefault="006E33A3" w:rsidP="006E33A3">
      <w:pPr>
        <w:pStyle w:val="ListParagraph"/>
        <w:numPr>
          <w:ilvl w:val="1"/>
          <w:numId w:val="6"/>
        </w:numPr>
        <w:rPr>
          <w:sz w:val="22"/>
          <w:szCs w:val="22"/>
        </w:rPr>
      </w:pPr>
      <w:r w:rsidRPr="0002653A">
        <w:rPr>
          <w:sz w:val="22"/>
          <w:szCs w:val="22"/>
        </w:rPr>
        <w:t xml:space="preserve">Number of </w:t>
      </w:r>
      <w:r w:rsidRPr="0002653A">
        <w:rPr>
          <w:b/>
          <w:bCs/>
          <w:sz w:val="22"/>
          <w:szCs w:val="22"/>
        </w:rPr>
        <w:t>parts</w:t>
      </w:r>
    </w:p>
    <w:p w14:paraId="6EBB5439" w14:textId="77777777" w:rsidR="006E33A3" w:rsidRPr="0002653A" w:rsidRDefault="006E33A3" w:rsidP="006E33A3">
      <w:pPr>
        <w:pStyle w:val="ListParagraph"/>
        <w:numPr>
          <w:ilvl w:val="1"/>
          <w:numId w:val="6"/>
        </w:numPr>
        <w:rPr>
          <w:sz w:val="22"/>
          <w:szCs w:val="22"/>
        </w:rPr>
      </w:pPr>
      <w:r w:rsidRPr="0002653A">
        <w:rPr>
          <w:sz w:val="22"/>
          <w:szCs w:val="22"/>
        </w:rPr>
        <w:t xml:space="preserve">Whether or not an </w:t>
      </w:r>
      <w:r w:rsidRPr="0002653A">
        <w:rPr>
          <w:b/>
          <w:bCs/>
          <w:sz w:val="22"/>
          <w:szCs w:val="22"/>
        </w:rPr>
        <w:t xml:space="preserve">affidavit </w:t>
      </w:r>
      <w:r w:rsidRPr="0002653A">
        <w:rPr>
          <w:sz w:val="22"/>
          <w:szCs w:val="22"/>
        </w:rPr>
        <w:t>is included</w:t>
      </w:r>
    </w:p>
    <w:p w14:paraId="239B08C4" w14:textId="77777777" w:rsidR="006E33A3" w:rsidRPr="0002653A" w:rsidRDefault="006E33A3" w:rsidP="006E33A3">
      <w:pPr>
        <w:pStyle w:val="ListParagraph"/>
        <w:numPr>
          <w:ilvl w:val="1"/>
          <w:numId w:val="6"/>
        </w:numPr>
        <w:rPr>
          <w:sz w:val="22"/>
          <w:szCs w:val="22"/>
        </w:rPr>
      </w:pPr>
      <w:r w:rsidRPr="0002653A">
        <w:rPr>
          <w:sz w:val="22"/>
          <w:szCs w:val="22"/>
        </w:rPr>
        <w:t>Indicate the records were uploaded to ShareFile for processing.</w:t>
      </w:r>
    </w:p>
    <w:p w14:paraId="0DAC1D00" w14:textId="3A7F410A" w:rsidR="006E33A3" w:rsidRPr="00785D4B" w:rsidRDefault="0090158A" w:rsidP="006E33A3">
      <w:pPr>
        <w:ind w:left="720"/>
        <w:rPr>
          <w:b/>
          <w:bCs/>
          <w:sz w:val="22"/>
          <w:szCs w:val="22"/>
        </w:rPr>
      </w:pPr>
      <w:r>
        <w:rPr>
          <w:b/>
          <w:bCs/>
          <w:sz w:val="20"/>
          <w:szCs w:val="20"/>
        </w:rPr>
        <w:br/>
      </w:r>
      <w:r w:rsidR="006E33A3" w:rsidRPr="00785D4B">
        <w:rPr>
          <w:b/>
          <w:bCs/>
          <w:sz w:val="22"/>
          <w:szCs w:val="22"/>
        </w:rPr>
        <w:t>NEXT orders:</w:t>
      </w:r>
      <w:r w:rsidR="006E33A3" w:rsidRPr="00785D4B">
        <w:rPr>
          <w:sz w:val="22"/>
          <w:szCs w:val="22"/>
        </w:rPr>
        <w:t xml:space="preserve">  </w:t>
      </w:r>
      <w:r w:rsidR="006E33A3" w:rsidRPr="00785D4B">
        <w:rPr>
          <w:sz w:val="22"/>
          <w:szCs w:val="22"/>
        </w:rPr>
        <w:br/>
        <w:t xml:space="preserve">Add an </w:t>
      </w:r>
      <w:r w:rsidR="006E33A3" w:rsidRPr="00785D4B">
        <w:rPr>
          <w:b/>
          <w:bCs/>
          <w:sz w:val="22"/>
          <w:szCs w:val="22"/>
        </w:rPr>
        <w:t>inter-departmental status (303 – C110) note,</w:t>
      </w:r>
      <w:r w:rsidR="006E33A3" w:rsidRPr="00785D4B">
        <w:rPr>
          <w:sz w:val="22"/>
          <w:szCs w:val="22"/>
        </w:rPr>
        <w:t xml:space="preserve"> </w:t>
      </w:r>
      <w:r w:rsidR="006E33A3" w:rsidRPr="00785D4B">
        <w:rPr>
          <w:b/>
          <w:bCs/>
          <w:sz w:val="22"/>
          <w:szCs w:val="22"/>
        </w:rPr>
        <w:t>make it available on the website and includes the following:</w:t>
      </w:r>
    </w:p>
    <w:p w14:paraId="1EE13BA7" w14:textId="77777777" w:rsidR="006E33A3" w:rsidRPr="00785D4B" w:rsidRDefault="006E33A3" w:rsidP="006E33A3">
      <w:pPr>
        <w:pStyle w:val="ListParagraph"/>
        <w:numPr>
          <w:ilvl w:val="1"/>
          <w:numId w:val="6"/>
        </w:numPr>
        <w:rPr>
          <w:sz w:val="22"/>
          <w:szCs w:val="22"/>
        </w:rPr>
      </w:pPr>
      <w:r w:rsidRPr="00785D4B">
        <w:rPr>
          <w:sz w:val="22"/>
          <w:szCs w:val="22"/>
        </w:rPr>
        <w:t xml:space="preserve">Total number of </w:t>
      </w:r>
      <w:r w:rsidRPr="00785D4B">
        <w:rPr>
          <w:b/>
          <w:bCs/>
          <w:sz w:val="22"/>
          <w:szCs w:val="22"/>
        </w:rPr>
        <w:t>pages</w:t>
      </w:r>
    </w:p>
    <w:p w14:paraId="41BA476A" w14:textId="77777777" w:rsidR="006E33A3" w:rsidRPr="00785D4B" w:rsidRDefault="006E33A3" w:rsidP="006E33A3">
      <w:pPr>
        <w:pStyle w:val="ListParagraph"/>
        <w:numPr>
          <w:ilvl w:val="1"/>
          <w:numId w:val="6"/>
        </w:numPr>
        <w:rPr>
          <w:sz w:val="22"/>
          <w:szCs w:val="22"/>
        </w:rPr>
      </w:pPr>
      <w:r w:rsidRPr="00785D4B">
        <w:rPr>
          <w:b/>
          <w:bCs/>
          <w:sz w:val="22"/>
          <w:szCs w:val="22"/>
        </w:rPr>
        <w:t xml:space="preserve">Type </w:t>
      </w:r>
      <w:r w:rsidRPr="00785D4B">
        <w:rPr>
          <w:sz w:val="22"/>
          <w:szCs w:val="22"/>
        </w:rPr>
        <w:t>of records and whether there is additional record types needed</w:t>
      </w:r>
    </w:p>
    <w:p w14:paraId="22528DDE" w14:textId="77777777" w:rsidR="006E33A3" w:rsidRPr="00785D4B" w:rsidRDefault="006E33A3" w:rsidP="006E33A3">
      <w:pPr>
        <w:pStyle w:val="ListParagraph"/>
        <w:numPr>
          <w:ilvl w:val="1"/>
          <w:numId w:val="6"/>
        </w:numPr>
        <w:rPr>
          <w:sz w:val="22"/>
          <w:szCs w:val="22"/>
        </w:rPr>
      </w:pPr>
      <w:r w:rsidRPr="00785D4B">
        <w:rPr>
          <w:sz w:val="22"/>
          <w:szCs w:val="22"/>
        </w:rPr>
        <w:t xml:space="preserve">Number of </w:t>
      </w:r>
      <w:r w:rsidRPr="00785D4B">
        <w:rPr>
          <w:b/>
          <w:bCs/>
          <w:sz w:val="22"/>
          <w:szCs w:val="22"/>
        </w:rPr>
        <w:t>parts</w:t>
      </w:r>
    </w:p>
    <w:p w14:paraId="541947C0" w14:textId="77777777" w:rsidR="006E33A3" w:rsidRPr="00785D4B" w:rsidRDefault="006E33A3" w:rsidP="006E33A3">
      <w:pPr>
        <w:pStyle w:val="ListParagraph"/>
        <w:numPr>
          <w:ilvl w:val="1"/>
          <w:numId w:val="6"/>
        </w:numPr>
        <w:rPr>
          <w:sz w:val="22"/>
          <w:szCs w:val="22"/>
        </w:rPr>
      </w:pPr>
      <w:r w:rsidRPr="00785D4B">
        <w:rPr>
          <w:sz w:val="22"/>
          <w:szCs w:val="22"/>
        </w:rPr>
        <w:t xml:space="preserve">Whether or not an </w:t>
      </w:r>
      <w:r w:rsidRPr="00785D4B">
        <w:rPr>
          <w:b/>
          <w:bCs/>
          <w:sz w:val="22"/>
          <w:szCs w:val="22"/>
        </w:rPr>
        <w:t xml:space="preserve">affidavit </w:t>
      </w:r>
      <w:r w:rsidRPr="00785D4B">
        <w:rPr>
          <w:sz w:val="22"/>
          <w:szCs w:val="22"/>
        </w:rPr>
        <w:t>is included</w:t>
      </w:r>
    </w:p>
    <w:p w14:paraId="68E2833D" w14:textId="77777777" w:rsidR="006E33A3" w:rsidRPr="00785D4B" w:rsidRDefault="006E33A3" w:rsidP="006E33A3">
      <w:pPr>
        <w:pStyle w:val="ListParagraph"/>
        <w:numPr>
          <w:ilvl w:val="1"/>
          <w:numId w:val="6"/>
        </w:numPr>
        <w:rPr>
          <w:sz w:val="22"/>
          <w:szCs w:val="22"/>
        </w:rPr>
      </w:pPr>
      <w:r w:rsidRPr="00785D4B">
        <w:rPr>
          <w:sz w:val="22"/>
          <w:szCs w:val="22"/>
        </w:rPr>
        <w:t xml:space="preserve">Indicate the records were processed through the FPC app </w:t>
      </w:r>
    </w:p>
    <w:p w14:paraId="54D1A9FA" w14:textId="77777777" w:rsidR="006E33A3" w:rsidRPr="00785D4B" w:rsidRDefault="006E33A3" w:rsidP="006E33A3">
      <w:pPr>
        <w:pStyle w:val="ListParagraph"/>
        <w:numPr>
          <w:ilvl w:val="1"/>
          <w:numId w:val="6"/>
        </w:numPr>
        <w:rPr>
          <w:sz w:val="22"/>
          <w:szCs w:val="22"/>
        </w:rPr>
      </w:pPr>
      <w:r w:rsidRPr="00785D4B">
        <w:rPr>
          <w:sz w:val="22"/>
          <w:szCs w:val="22"/>
        </w:rPr>
        <w:t xml:space="preserve">Whether or not an </w:t>
      </w:r>
      <w:r w:rsidRPr="00785D4B">
        <w:rPr>
          <w:b/>
          <w:bCs/>
          <w:sz w:val="22"/>
          <w:szCs w:val="22"/>
        </w:rPr>
        <w:t xml:space="preserve">affidavit </w:t>
      </w:r>
      <w:r w:rsidRPr="00785D4B">
        <w:rPr>
          <w:sz w:val="22"/>
          <w:szCs w:val="22"/>
        </w:rPr>
        <w:t>is included</w:t>
      </w:r>
    </w:p>
    <w:p w14:paraId="71675B42" w14:textId="76EF89D6" w:rsidR="006E33A3" w:rsidRPr="00785D4B" w:rsidRDefault="006E33A3" w:rsidP="0090158A">
      <w:pPr>
        <w:pStyle w:val="ListParagraph"/>
        <w:rPr>
          <w:sz w:val="22"/>
          <w:szCs w:val="22"/>
        </w:rPr>
      </w:pPr>
      <w:r w:rsidRPr="00785D4B">
        <w:rPr>
          <w:sz w:val="22"/>
          <w:szCs w:val="22"/>
        </w:rPr>
        <w:br/>
      </w:r>
      <w:r w:rsidRPr="00785D4B">
        <w:rPr>
          <mc:AlternateContent>
            <mc:Choice Requires="w16se"/>
            <mc:Fallback>
              <w:rFonts w:ascii="Segoe UI Emoji" w:eastAsia="Segoe UI Emoji" w:hAnsi="Segoe UI Emoji" w:cs="Segoe UI Emoji"/>
            </mc:Fallback>
          </mc:AlternateContent>
          <w:b/>
          <w:bCs/>
          <w:sz w:val="22"/>
          <w:szCs w:val="22"/>
        </w:rPr>
        <mc:AlternateContent>
          <mc:Choice Requires="w16se">
            <w16se:symEx w16se:font="Segoe UI Emoji" w16se:char="1F4DD"/>
          </mc:Choice>
          <mc:Fallback>
            <w:t>📝</w:t>
          </mc:Fallback>
        </mc:AlternateContent>
      </w:r>
      <w:r w:rsidRPr="00785D4B">
        <w:rPr>
          <w:b/>
          <w:bCs/>
          <w:sz w:val="22"/>
          <w:szCs w:val="22"/>
        </w:rPr>
        <w:t xml:space="preserve"> Example inter-departmental status</w:t>
      </w:r>
      <w:r w:rsidRPr="00785D4B">
        <w:rPr>
          <w:sz w:val="22"/>
          <w:szCs w:val="22"/>
        </w:rPr>
        <w:br/>
      </w:r>
      <w:r w:rsidRPr="00785D4B">
        <w:rPr>
          <w:b/>
          <w:bCs/>
          <w:sz w:val="22"/>
          <w:szCs w:val="22"/>
        </w:rPr>
        <w:t xml:space="preserve">System description: </w:t>
      </w:r>
      <w:r w:rsidRPr="00785D4B">
        <w:rPr>
          <w:b/>
          <w:bCs/>
          <w:sz w:val="22"/>
          <w:szCs w:val="22"/>
        </w:rPr>
        <w:br/>
      </w:r>
      <w:r w:rsidRPr="00785D4B">
        <w:rPr>
          <w:sz w:val="22"/>
          <w:szCs w:val="22"/>
        </w:rPr>
        <w:t xml:space="preserve">48 pages of medical records and billing received, no custodian certification, films still outstanding, records processed through FPC app. </w:t>
      </w:r>
      <w:r w:rsidRPr="00785D4B">
        <w:rPr>
          <w:sz w:val="22"/>
          <w:szCs w:val="22"/>
        </w:rPr>
        <w:br/>
      </w:r>
      <w:r w:rsidRPr="00785D4B">
        <w:rPr>
          <w:sz w:val="22"/>
          <w:szCs w:val="22"/>
        </w:rPr>
        <w:br/>
      </w:r>
      <w:r w:rsidRPr="00785D4B">
        <w:rPr>
          <w:b/>
          <w:bCs/>
          <w:sz w:val="22"/>
          <w:szCs w:val="22"/>
        </w:rPr>
        <w:t>Web Description must be the following:</w:t>
      </w:r>
      <w:r w:rsidRPr="00785D4B">
        <w:rPr>
          <w:sz w:val="22"/>
          <w:szCs w:val="22"/>
        </w:rPr>
        <w:t xml:space="preserve"> </w:t>
      </w:r>
      <w:r w:rsidRPr="00785D4B">
        <w:rPr>
          <w:sz w:val="22"/>
          <w:szCs w:val="22"/>
        </w:rPr>
        <w:br/>
        <w:t xml:space="preserve">Records have been received from the provider.  They are being reviewed for quality and accuracy by our production team.   Once the records are validated, they will be released and delivered by your preferred method of receipt. </w:t>
      </w:r>
    </w:p>
    <w:p w14:paraId="2524DD60" w14:textId="0272C5CF" w:rsidR="006E33A3" w:rsidRPr="00785D4B" w:rsidRDefault="0090158A" w:rsidP="006E33A3">
      <w:pPr>
        <w:rPr>
          <w:b/>
          <w:bCs/>
          <w:sz w:val="22"/>
          <w:szCs w:val="22"/>
        </w:rPr>
      </w:pPr>
      <w:r>
        <w:rPr>
          <w:sz w:val="20"/>
          <w:szCs w:val="20"/>
        </w:rPr>
        <w:br/>
      </w:r>
      <w:r w:rsidR="006E33A3" w:rsidRPr="00785D4B">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A0"/>
          </mc:Choice>
          <mc:Fallback>
            <w:t>⚠</w:t>
          </mc:Fallback>
        </mc:AlternateContent>
      </w:r>
      <w:r w:rsidR="006E33A3" w:rsidRPr="00785D4B">
        <w:rPr>
          <w:rFonts w:ascii="Segoe UI Emoji" w:hAnsi="Segoe UI Emoji" w:cs="Segoe UI Emoji"/>
          <w:sz w:val="22"/>
          <w:szCs w:val="22"/>
        </w:rPr>
        <w:t>️</w:t>
      </w:r>
      <w:r w:rsidR="006E33A3" w:rsidRPr="00785D4B">
        <w:rPr>
          <w:sz w:val="22"/>
          <w:szCs w:val="22"/>
        </w:rPr>
        <w:t xml:space="preserve">If you are an </w:t>
      </w:r>
      <w:r w:rsidR="006E33A3" w:rsidRPr="00785D4B">
        <w:rPr>
          <w:b/>
          <w:bCs/>
          <w:sz w:val="22"/>
          <w:szCs w:val="22"/>
        </w:rPr>
        <w:t xml:space="preserve">Expeditor </w:t>
      </w:r>
      <w:r w:rsidR="006E33A3" w:rsidRPr="00785D4B">
        <w:rPr>
          <w:sz w:val="22"/>
          <w:szCs w:val="22"/>
        </w:rPr>
        <w:t>or a</w:t>
      </w:r>
      <w:r w:rsidR="006E33A3" w:rsidRPr="00785D4B">
        <w:rPr>
          <w:b/>
          <w:bCs/>
          <w:sz w:val="22"/>
          <w:szCs w:val="22"/>
        </w:rPr>
        <w:t xml:space="preserve"> Customer Service Agent</w:t>
      </w:r>
      <w:r w:rsidR="006E33A3" w:rsidRPr="00785D4B">
        <w:rPr>
          <w:sz w:val="22"/>
          <w:szCs w:val="22"/>
        </w:rPr>
        <w:t xml:space="preserve"> working directly with the facility and you have received records </w:t>
      </w:r>
      <w:r w:rsidR="006E33A3" w:rsidRPr="00785D4B">
        <w:rPr>
          <w:b/>
          <w:bCs/>
          <w:sz w:val="22"/>
          <w:szCs w:val="22"/>
        </w:rPr>
        <w:t xml:space="preserve">without an affidavit, incorrect records or missing record types, please follow up with the custodian immediately. </w:t>
      </w:r>
      <w:r w:rsidR="006E33A3" w:rsidRPr="00785D4B">
        <w:rPr>
          <w:b/>
          <w:bCs/>
          <w:sz w:val="22"/>
          <w:szCs w:val="22"/>
        </w:rPr>
        <w:br/>
      </w:r>
      <w:r w:rsidR="006E33A3" w:rsidRPr="00785D4B">
        <w:rPr>
          <w:b/>
          <w:bCs/>
          <w:sz w:val="22"/>
          <w:szCs w:val="22"/>
        </w:rPr>
        <w:br/>
      </w:r>
    </w:p>
    <w:p w14:paraId="124D8305" w14:textId="77777777" w:rsidR="006E33A3" w:rsidRPr="009E4851" w:rsidRDefault="006E33A3" w:rsidP="006E33A3">
      <w:pPr>
        <w:rPr>
          <w:b/>
          <w:bCs/>
          <w:sz w:val="20"/>
          <w:szCs w:val="20"/>
        </w:rPr>
      </w:pPr>
      <w:r>
        <w:rPr>
          <w:rFonts w:ascii="Segoe UI Emoji" w:hAnsi="Segoe UI Emoji" w:cs="Segoe UI Emoji"/>
          <w:b/>
          <w:bCs/>
          <w:sz w:val="20"/>
          <w:szCs w:val="20"/>
        </w:rPr>
        <w:t xml:space="preserve">✅Refer to the Quick Reference Guide as a resource, reviewing the SOP as needed for additional detail and clarification. </w:t>
      </w:r>
    </w:p>
    <w:p w14:paraId="42A813CF" w14:textId="77777777" w:rsidR="006E33A3" w:rsidRDefault="006E33A3" w:rsidP="006E33A3">
      <w:pPr>
        <w:rPr>
          <w:b/>
          <w:bCs/>
          <w:sz w:val="20"/>
          <w:szCs w:val="20"/>
        </w:rPr>
      </w:pPr>
    </w:p>
    <w:p w14:paraId="3203B6BB" w14:textId="450CC07E" w:rsidR="00945E79" w:rsidRDefault="00945E79" w:rsidP="006E33A3"/>
    <w:p w14:paraId="57317D6B" w14:textId="77777777" w:rsidR="00945E79" w:rsidRDefault="00945E79" w:rsidP="00994D71">
      <w:pPr>
        <w:ind w:left="100"/>
      </w:pPr>
    </w:p>
    <w:p w14:paraId="3B4052E9" w14:textId="7EEB554A" w:rsidR="001C3469" w:rsidRPr="001C3469" w:rsidRDefault="00EC3C15" w:rsidP="001C3469">
      <w:pPr>
        <w:rPr>
          <w:color w:val="002060"/>
          <w:sz w:val="28"/>
          <w:szCs w:val="28"/>
        </w:rPr>
      </w:pPr>
      <w:r>
        <w:rPr>
          <w:color w:val="002060"/>
          <w:sz w:val="28"/>
          <w:szCs w:val="28"/>
        </w:rPr>
        <w:t>Q</w:t>
      </w:r>
      <w:r w:rsidR="001C3469" w:rsidRPr="001C3469">
        <w:rPr>
          <w:color w:val="002060"/>
          <w:sz w:val="28"/>
          <w:szCs w:val="28"/>
        </w:rPr>
        <w:t xml:space="preserve">uick </w:t>
      </w:r>
      <w:r w:rsidR="001C3469">
        <w:rPr>
          <w:color w:val="002060"/>
          <w:sz w:val="28"/>
          <w:szCs w:val="28"/>
        </w:rPr>
        <w:t>R</w:t>
      </w:r>
      <w:r w:rsidR="001C3469" w:rsidRPr="001C3469">
        <w:rPr>
          <w:color w:val="002060"/>
          <w:sz w:val="28"/>
          <w:szCs w:val="28"/>
        </w:rPr>
        <w:t xml:space="preserve">eference </w:t>
      </w:r>
      <w:r w:rsidR="001C3469">
        <w:rPr>
          <w:color w:val="002060"/>
          <w:sz w:val="28"/>
          <w:szCs w:val="28"/>
        </w:rPr>
        <w:t>G</w:t>
      </w:r>
      <w:r w:rsidR="001C3469" w:rsidRPr="001C3469">
        <w:rPr>
          <w:color w:val="002060"/>
          <w:sz w:val="28"/>
          <w:szCs w:val="28"/>
        </w:rPr>
        <w:t>uide</w:t>
      </w:r>
    </w:p>
    <w:p w14:paraId="07295B36" w14:textId="2269E9FD" w:rsidR="00945E79" w:rsidRPr="00945E79" w:rsidRDefault="00945E79" w:rsidP="00945E79">
      <w:pPr>
        <w:rPr>
          <w:color w:val="002060"/>
        </w:rPr>
      </w:pPr>
      <w:r w:rsidRPr="00945E79">
        <w:rPr>
          <w:color w:val="002060"/>
        </w:rPr>
        <w:t>Northern California Kaiser Request Uploads – Next Orders only</w:t>
      </w:r>
      <w:r w:rsidR="001C3469">
        <w:rPr>
          <w:color w:val="002060"/>
        </w:rPr>
        <w:br/>
      </w:r>
      <w:r w:rsidR="001C3469" w:rsidRPr="00337996">
        <w:rPr>
          <w:color w:val="002060"/>
        </w:rPr>
        <w:t xml:space="preserve">Companion to </w:t>
      </w:r>
      <w:r w:rsidR="00337996" w:rsidRPr="00337996">
        <w:rPr>
          <w:color w:val="002060"/>
          <w:sz w:val="22"/>
          <w:szCs w:val="22"/>
        </w:rPr>
        <w:t>SOP #:   OA</w:t>
      </w:r>
      <w:r w:rsidR="00DE321E">
        <w:rPr>
          <w:color w:val="002060"/>
          <w:sz w:val="22"/>
          <w:szCs w:val="22"/>
        </w:rPr>
        <w:t>827</w:t>
      </w:r>
      <w:r w:rsidR="00337996" w:rsidRPr="00337996">
        <w:rPr>
          <w:color w:val="002060"/>
          <w:sz w:val="22"/>
          <w:szCs w:val="22"/>
        </w:rPr>
        <w:t>25-01</w:t>
      </w:r>
      <w:r w:rsidRPr="00945E79">
        <w:rPr>
          <w:color w:val="002060"/>
        </w:rPr>
        <w:br/>
      </w:r>
    </w:p>
    <w:tbl>
      <w:tblPr>
        <w:tblStyle w:val="TableGrid"/>
        <w:tblW w:w="0" w:type="auto"/>
        <w:tblLayout w:type="fixed"/>
        <w:tblLook w:val="04A0" w:firstRow="1" w:lastRow="0" w:firstColumn="1" w:lastColumn="0" w:noHBand="0" w:noVBand="1"/>
      </w:tblPr>
      <w:tblGrid>
        <w:gridCol w:w="4410"/>
        <w:gridCol w:w="4585"/>
      </w:tblGrid>
      <w:tr w:rsidR="00945E79" w:rsidRPr="00945E79" w14:paraId="420A9A6B" w14:textId="77777777" w:rsidTr="00C24D3F">
        <w:tc>
          <w:tcPr>
            <w:tcW w:w="4410" w:type="dxa"/>
          </w:tcPr>
          <w:p w14:paraId="589CD8BE" w14:textId="77777777" w:rsidR="00945E79" w:rsidRPr="00945E79" w:rsidRDefault="00945E79" w:rsidP="00C24D3F">
            <w:pPr>
              <w:rPr>
                <w:color w:val="002060"/>
              </w:rPr>
            </w:pPr>
            <w:r w:rsidRPr="00945E79">
              <w:rPr>
                <w:color w:val="002060"/>
              </w:rPr>
              <w:t>Review Order to Ensure required information is available.</w:t>
            </w:r>
          </w:p>
        </w:tc>
        <w:tc>
          <w:tcPr>
            <w:tcW w:w="4585" w:type="dxa"/>
          </w:tcPr>
          <w:p w14:paraId="1433DEB9" w14:textId="77777777" w:rsidR="00945E79" w:rsidRPr="00945E79" w:rsidRDefault="00945E79" w:rsidP="00945E79">
            <w:pPr>
              <w:pStyle w:val="ListParagraph"/>
              <w:numPr>
                <w:ilvl w:val="0"/>
                <w:numId w:val="2"/>
              </w:numPr>
              <w:rPr>
                <w:color w:val="002060"/>
              </w:rPr>
            </w:pPr>
            <w:r w:rsidRPr="00945E79">
              <w:rPr>
                <w:color w:val="002060"/>
              </w:rPr>
              <w:t>Date of Birth</w:t>
            </w:r>
          </w:p>
          <w:p w14:paraId="24F40FB0" w14:textId="77777777" w:rsidR="00945E79" w:rsidRPr="00945E79" w:rsidRDefault="00945E79" w:rsidP="00945E79">
            <w:pPr>
              <w:pStyle w:val="ListParagraph"/>
              <w:numPr>
                <w:ilvl w:val="0"/>
                <w:numId w:val="2"/>
              </w:numPr>
              <w:rPr>
                <w:color w:val="002060"/>
              </w:rPr>
            </w:pPr>
            <w:r w:rsidRPr="00945E79">
              <w:rPr>
                <w:color w:val="002060"/>
              </w:rPr>
              <w:t>Request is for medical and/or films only.</w:t>
            </w:r>
          </w:p>
        </w:tc>
      </w:tr>
      <w:tr w:rsidR="00945E79" w:rsidRPr="00945E79" w14:paraId="04840529" w14:textId="77777777" w:rsidTr="00C24D3F">
        <w:tc>
          <w:tcPr>
            <w:tcW w:w="4410" w:type="dxa"/>
          </w:tcPr>
          <w:p w14:paraId="2BD2DFA7" w14:textId="77777777" w:rsidR="00945E79" w:rsidRPr="00945E79" w:rsidRDefault="00945E79" w:rsidP="00C24D3F">
            <w:pPr>
              <w:rPr>
                <w:color w:val="002060"/>
              </w:rPr>
            </w:pPr>
            <w:r w:rsidRPr="00945E79">
              <w:rPr>
                <w:color w:val="002060"/>
              </w:rPr>
              <w:t xml:space="preserve">Missing DOB </w:t>
            </w:r>
          </w:p>
        </w:tc>
        <w:tc>
          <w:tcPr>
            <w:tcW w:w="4585" w:type="dxa"/>
          </w:tcPr>
          <w:p w14:paraId="53DAC8E8" w14:textId="77777777" w:rsidR="00945E79" w:rsidRPr="00945E79" w:rsidRDefault="00945E79" w:rsidP="00945E79">
            <w:pPr>
              <w:pStyle w:val="ListParagraph"/>
              <w:numPr>
                <w:ilvl w:val="0"/>
                <w:numId w:val="2"/>
              </w:numPr>
              <w:rPr>
                <w:color w:val="002060"/>
              </w:rPr>
            </w:pPr>
            <w:r w:rsidRPr="00945E79">
              <w:rPr>
                <w:color w:val="002060"/>
              </w:rPr>
              <w:t>Apply a 301-012 status</w:t>
            </w:r>
          </w:p>
          <w:p w14:paraId="0B5A51D0" w14:textId="77777777" w:rsidR="00945E79" w:rsidRPr="00945E79" w:rsidRDefault="00945E79" w:rsidP="00945E79">
            <w:pPr>
              <w:pStyle w:val="ListParagraph"/>
              <w:numPr>
                <w:ilvl w:val="0"/>
                <w:numId w:val="2"/>
              </w:numPr>
              <w:rPr>
                <w:color w:val="002060"/>
              </w:rPr>
            </w:pPr>
            <w:r w:rsidRPr="00945E79">
              <w:rPr>
                <w:color w:val="002060"/>
              </w:rPr>
              <w:t>Use the language provided in the SOP</w:t>
            </w:r>
          </w:p>
          <w:p w14:paraId="230150C3" w14:textId="77777777" w:rsidR="00945E79" w:rsidRPr="00945E79" w:rsidRDefault="00945E79" w:rsidP="00945E79">
            <w:pPr>
              <w:pStyle w:val="ListParagraph"/>
              <w:numPr>
                <w:ilvl w:val="0"/>
                <w:numId w:val="2"/>
              </w:numPr>
              <w:rPr>
                <w:color w:val="002060"/>
              </w:rPr>
            </w:pPr>
            <w:r w:rsidRPr="00945E79">
              <w:rPr>
                <w:color w:val="002060"/>
              </w:rPr>
              <w:t>Set a call back</w:t>
            </w:r>
          </w:p>
        </w:tc>
      </w:tr>
      <w:tr w:rsidR="00945E79" w:rsidRPr="00945E79" w14:paraId="435D2985" w14:textId="77777777" w:rsidTr="00C24D3F">
        <w:tc>
          <w:tcPr>
            <w:tcW w:w="4410" w:type="dxa"/>
          </w:tcPr>
          <w:p w14:paraId="57C6B1D6" w14:textId="77777777" w:rsidR="00945E79" w:rsidRPr="00945E79" w:rsidRDefault="00945E79" w:rsidP="00C24D3F">
            <w:pPr>
              <w:rPr>
                <w:color w:val="002060"/>
              </w:rPr>
            </w:pPr>
            <w:r w:rsidRPr="00945E79">
              <w:rPr>
                <w:color w:val="002060"/>
              </w:rPr>
              <w:t>You have what you need to submit the request – get the documents ready to upload</w:t>
            </w:r>
          </w:p>
        </w:tc>
        <w:tc>
          <w:tcPr>
            <w:tcW w:w="4585" w:type="dxa"/>
          </w:tcPr>
          <w:p w14:paraId="7CA14491" w14:textId="77777777" w:rsidR="00945E79" w:rsidRPr="00945E79" w:rsidRDefault="00945E79" w:rsidP="00945E79">
            <w:pPr>
              <w:pStyle w:val="ListParagraph"/>
              <w:numPr>
                <w:ilvl w:val="0"/>
                <w:numId w:val="3"/>
              </w:numPr>
              <w:rPr>
                <w:color w:val="002060"/>
              </w:rPr>
            </w:pPr>
            <w:r w:rsidRPr="00945E79">
              <w:rPr>
                <w:color w:val="002060"/>
              </w:rPr>
              <w:t>Download the packet</w:t>
            </w:r>
          </w:p>
          <w:p w14:paraId="51D0691C" w14:textId="77777777" w:rsidR="00945E79" w:rsidRPr="00945E79" w:rsidRDefault="00945E79" w:rsidP="00945E79">
            <w:pPr>
              <w:pStyle w:val="ListParagraph"/>
              <w:numPr>
                <w:ilvl w:val="0"/>
                <w:numId w:val="3"/>
              </w:numPr>
              <w:rPr>
                <w:color w:val="002060"/>
              </w:rPr>
            </w:pPr>
            <w:r w:rsidRPr="00945E79">
              <w:rPr>
                <w:color w:val="002060"/>
              </w:rPr>
              <w:t xml:space="preserve">Save the packet to your computer using naming convention </w:t>
            </w:r>
            <w:proofErr w:type="spellStart"/>
            <w:r w:rsidRPr="00945E79">
              <w:rPr>
                <w:color w:val="002060"/>
              </w:rPr>
              <w:t>patientname_location</w:t>
            </w:r>
            <w:proofErr w:type="spellEnd"/>
            <w:r w:rsidRPr="00945E79">
              <w:rPr>
                <w:color w:val="002060"/>
              </w:rPr>
              <w:t xml:space="preserve"> order number</w:t>
            </w:r>
          </w:p>
        </w:tc>
      </w:tr>
      <w:tr w:rsidR="00945E79" w:rsidRPr="00945E79" w14:paraId="34F33462" w14:textId="77777777" w:rsidTr="00C24D3F">
        <w:tc>
          <w:tcPr>
            <w:tcW w:w="4410" w:type="dxa"/>
          </w:tcPr>
          <w:p w14:paraId="680E9EB1" w14:textId="77777777" w:rsidR="00945E79" w:rsidRPr="00945E79" w:rsidRDefault="00945E79" w:rsidP="00C24D3F">
            <w:pPr>
              <w:rPr>
                <w:color w:val="002060"/>
              </w:rPr>
            </w:pPr>
            <w:r w:rsidRPr="00945E79">
              <w:rPr>
                <w:color w:val="002060"/>
              </w:rPr>
              <w:t>Access the Portal</w:t>
            </w:r>
          </w:p>
        </w:tc>
        <w:tc>
          <w:tcPr>
            <w:tcW w:w="4585" w:type="dxa"/>
          </w:tcPr>
          <w:p w14:paraId="13EAE22A" w14:textId="77777777" w:rsidR="00945E79" w:rsidRPr="00945E79" w:rsidRDefault="00945E79" w:rsidP="00945E79">
            <w:pPr>
              <w:pStyle w:val="ListParagraph"/>
              <w:numPr>
                <w:ilvl w:val="0"/>
                <w:numId w:val="3"/>
              </w:numPr>
              <w:rPr>
                <w:color w:val="002060"/>
              </w:rPr>
            </w:pPr>
            <w:hyperlink r:id="rId13" w:history="1">
              <w:r w:rsidRPr="00945E79">
                <w:rPr>
                  <w:rStyle w:val="Hyperlink"/>
                  <w:color w:val="002060"/>
                  <w:sz w:val="22"/>
                  <w:szCs w:val="22"/>
                </w:rPr>
                <w:t>https://kp-romi.azurefd.net/</w:t>
              </w:r>
            </w:hyperlink>
          </w:p>
        </w:tc>
      </w:tr>
      <w:tr w:rsidR="00945E79" w:rsidRPr="00945E79" w14:paraId="3E33323E" w14:textId="77777777" w:rsidTr="00C24D3F">
        <w:tc>
          <w:tcPr>
            <w:tcW w:w="4410" w:type="dxa"/>
          </w:tcPr>
          <w:p w14:paraId="712D663F" w14:textId="77777777" w:rsidR="00945E79" w:rsidRPr="00945E79" w:rsidRDefault="00945E79" w:rsidP="00C24D3F">
            <w:pPr>
              <w:rPr>
                <w:color w:val="002060"/>
              </w:rPr>
            </w:pPr>
            <w:r w:rsidRPr="00945E79">
              <w:rPr>
                <w:color w:val="002060"/>
              </w:rPr>
              <w:t>Complete the information needed</w:t>
            </w:r>
          </w:p>
        </w:tc>
        <w:tc>
          <w:tcPr>
            <w:tcW w:w="4585" w:type="dxa"/>
          </w:tcPr>
          <w:p w14:paraId="75B86623" w14:textId="77777777" w:rsidR="00945E79" w:rsidRPr="00945E79" w:rsidRDefault="00945E79" w:rsidP="00945E79">
            <w:pPr>
              <w:pStyle w:val="ListParagraph"/>
              <w:numPr>
                <w:ilvl w:val="0"/>
                <w:numId w:val="3"/>
              </w:numPr>
              <w:rPr>
                <w:color w:val="002060"/>
              </w:rPr>
            </w:pPr>
            <w:r w:rsidRPr="00945E79">
              <w:rPr>
                <w:color w:val="002060"/>
              </w:rPr>
              <w:t>Refer to the SOP for details.</w:t>
            </w:r>
          </w:p>
        </w:tc>
      </w:tr>
      <w:tr w:rsidR="00945E79" w:rsidRPr="00945E79" w14:paraId="72A97864" w14:textId="77777777" w:rsidTr="00C24D3F">
        <w:tc>
          <w:tcPr>
            <w:tcW w:w="4410" w:type="dxa"/>
          </w:tcPr>
          <w:p w14:paraId="4D1B5328" w14:textId="77777777" w:rsidR="00945E79" w:rsidRPr="00945E79" w:rsidRDefault="00945E79" w:rsidP="00C24D3F">
            <w:pPr>
              <w:rPr>
                <w:color w:val="002060"/>
              </w:rPr>
            </w:pPr>
            <w:r w:rsidRPr="00945E79">
              <w:rPr>
                <w:color w:val="002060"/>
              </w:rPr>
              <w:t>Upload the packet</w:t>
            </w:r>
          </w:p>
        </w:tc>
        <w:tc>
          <w:tcPr>
            <w:tcW w:w="4585" w:type="dxa"/>
          </w:tcPr>
          <w:p w14:paraId="2C520F2F" w14:textId="77777777" w:rsidR="00945E79" w:rsidRPr="00945E79" w:rsidRDefault="00945E79" w:rsidP="00945E79">
            <w:pPr>
              <w:pStyle w:val="ListParagraph"/>
              <w:numPr>
                <w:ilvl w:val="0"/>
                <w:numId w:val="3"/>
              </w:numPr>
              <w:rPr>
                <w:color w:val="002060"/>
              </w:rPr>
            </w:pPr>
            <w:r w:rsidRPr="00945E79">
              <w:rPr>
                <w:color w:val="002060"/>
              </w:rPr>
              <w:t>Agree to the terms (check box)</w:t>
            </w:r>
          </w:p>
          <w:p w14:paraId="631D35E5" w14:textId="77777777" w:rsidR="00945E79" w:rsidRPr="00945E79" w:rsidRDefault="00945E79" w:rsidP="00945E79">
            <w:pPr>
              <w:pStyle w:val="ListParagraph"/>
              <w:numPr>
                <w:ilvl w:val="0"/>
                <w:numId w:val="3"/>
              </w:numPr>
              <w:rPr>
                <w:color w:val="002060"/>
              </w:rPr>
            </w:pPr>
            <w:r w:rsidRPr="00945E79">
              <w:rPr>
                <w:color w:val="002060"/>
              </w:rPr>
              <w:t>Upload the packet</w:t>
            </w:r>
          </w:p>
        </w:tc>
      </w:tr>
      <w:tr w:rsidR="00945E79" w:rsidRPr="00945E79" w14:paraId="7AAD2915" w14:textId="77777777" w:rsidTr="00C24D3F">
        <w:tc>
          <w:tcPr>
            <w:tcW w:w="4410" w:type="dxa"/>
          </w:tcPr>
          <w:p w14:paraId="6A7C8B3D" w14:textId="77777777" w:rsidR="00945E79" w:rsidRPr="00945E79" w:rsidRDefault="00945E79" w:rsidP="00C24D3F">
            <w:pPr>
              <w:rPr>
                <w:color w:val="002060"/>
              </w:rPr>
            </w:pPr>
            <w:r w:rsidRPr="00945E79">
              <w:rPr>
                <w:color w:val="002060"/>
              </w:rPr>
              <w:t>Submit the request</w:t>
            </w:r>
          </w:p>
        </w:tc>
        <w:tc>
          <w:tcPr>
            <w:tcW w:w="4585" w:type="dxa"/>
          </w:tcPr>
          <w:p w14:paraId="46F68730" w14:textId="77777777" w:rsidR="00945E79" w:rsidRPr="00945E79" w:rsidRDefault="00945E79" w:rsidP="00945E79">
            <w:pPr>
              <w:pStyle w:val="ListParagraph"/>
              <w:numPr>
                <w:ilvl w:val="0"/>
                <w:numId w:val="4"/>
              </w:numPr>
              <w:rPr>
                <w:color w:val="002060"/>
              </w:rPr>
            </w:pPr>
            <w:r w:rsidRPr="00945E79">
              <w:rPr>
                <w:color w:val="002060"/>
              </w:rPr>
              <w:t>Hit the submit button</w:t>
            </w:r>
          </w:p>
        </w:tc>
      </w:tr>
      <w:tr w:rsidR="00945E79" w:rsidRPr="00945E79" w14:paraId="6150A5C0" w14:textId="77777777" w:rsidTr="00C24D3F">
        <w:tc>
          <w:tcPr>
            <w:tcW w:w="4410" w:type="dxa"/>
          </w:tcPr>
          <w:p w14:paraId="600DF301" w14:textId="77777777" w:rsidR="00945E79" w:rsidRPr="00945E79" w:rsidRDefault="00945E79" w:rsidP="00C24D3F">
            <w:pPr>
              <w:rPr>
                <w:color w:val="002060"/>
              </w:rPr>
            </w:pPr>
            <w:r w:rsidRPr="00945E79">
              <w:rPr>
                <w:color w:val="002060"/>
              </w:rPr>
              <w:t xml:space="preserve">Grab the Kaiser Submission ID </w:t>
            </w:r>
          </w:p>
        </w:tc>
        <w:tc>
          <w:tcPr>
            <w:tcW w:w="4585" w:type="dxa"/>
          </w:tcPr>
          <w:p w14:paraId="12304841" w14:textId="77777777" w:rsidR="00945E79" w:rsidRPr="00945E79" w:rsidRDefault="00945E79" w:rsidP="00945E79">
            <w:pPr>
              <w:pStyle w:val="ListParagraph"/>
              <w:numPr>
                <w:ilvl w:val="0"/>
                <w:numId w:val="4"/>
              </w:numPr>
              <w:rPr>
                <w:color w:val="002060"/>
              </w:rPr>
            </w:pPr>
            <w:r w:rsidRPr="00945E79">
              <w:rPr>
                <w:color w:val="002060"/>
              </w:rPr>
              <w:t>Copy the number from the Confirmation page</w:t>
            </w:r>
          </w:p>
        </w:tc>
      </w:tr>
      <w:tr w:rsidR="00945E79" w:rsidRPr="00945E79" w14:paraId="32179245" w14:textId="77777777" w:rsidTr="00C24D3F">
        <w:tc>
          <w:tcPr>
            <w:tcW w:w="4410" w:type="dxa"/>
          </w:tcPr>
          <w:p w14:paraId="6DF3A32B" w14:textId="77777777" w:rsidR="00945E79" w:rsidRPr="00945E79" w:rsidRDefault="00945E79" w:rsidP="00C24D3F">
            <w:pPr>
              <w:rPr>
                <w:color w:val="002060"/>
              </w:rPr>
            </w:pPr>
            <w:r w:rsidRPr="00945E79">
              <w:rPr>
                <w:color w:val="002060"/>
              </w:rPr>
              <w:t xml:space="preserve">Status the serve </w:t>
            </w:r>
          </w:p>
        </w:tc>
        <w:tc>
          <w:tcPr>
            <w:tcW w:w="4585" w:type="dxa"/>
          </w:tcPr>
          <w:p w14:paraId="36C7A275" w14:textId="77777777" w:rsidR="00945E79" w:rsidRPr="00945E79" w:rsidRDefault="00945E79" w:rsidP="00945E79">
            <w:pPr>
              <w:pStyle w:val="ListParagraph"/>
              <w:numPr>
                <w:ilvl w:val="0"/>
                <w:numId w:val="4"/>
              </w:numPr>
              <w:rPr>
                <w:color w:val="002060"/>
              </w:rPr>
            </w:pPr>
            <w:r w:rsidRPr="00945E79">
              <w:rPr>
                <w:color w:val="002060"/>
              </w:rPr>
              <w:t>501 – F08</w:t>
            </w:r>
          </w:p>
          <w:p w14:paraId="23B02378" w14:textId="77777777" w:rsidR="00945E79" w:rsidRPr="00945E79" w:rsidRDefault="00945E79" w:rsidP="00945E79">
            <w:pPr>
              <w:pStyle w:val="ListParagraph"/>
              <w:numPr>
                <w:ilvl w:val="0"/>
                <w:numId w:val="4"/>
              </w:numPr>
              <w:rPr>
                <w:color w:val="002060"/>
              </w:rPr>
            </w:pPr>
            <w:r w:rsidRPr="00945E79">
              <w:rPr>
                <w:color w:val="002060"/>
              </w:rPr>
              <w:t>Use the language on the SOP</w:t>
            </w:r>
          </w:p>
          <w:p w14:paraId="374D7894" w14:textId="77777777" w:rsidR="00945E79" w:rsidRPr="00945E79" w:rsidRDefault="00945E79" w:rsidP="00945E79">
            <w:pPr>
              <w:pStyle w:val="ListParagraph"/>
              <w:numPr>
                <w:ilvl w:val="0"/>
                <w:numId w:val="4"/>
              </w:numPr>
              <w:rPr>
                <w:color w:val="002060"/>
              </w:rPr>
            </w:pPr>
            <w:r w:rsidRPr="00945E79">
              <w:rPr>
                <w:color w:val="002060"/>
              </w:rPr>
              <w:t xml:space="preserve">DO NOT forget to include the Kaiser Submission ID # </w:t>
            </w:r>
          </w:p>
        </w:tc>
      </w:tr>
      <w:tr w:rsidR="00945E79" w:rsidRPr="00945E79" w14:paraId="4B05AD89" w14:textId="77777777" w:rsidTr="00C24D3F">
        <w:tc>
          <w:tcPr>
            <w:tcW w:w="4410" w:type="dxa"/>
          </w:tcPr>
          <w:p w14:paraId="4D532600" w14:textId="77777777" w:rsidR="00945E79" w:rsidRPr="00945E79" w:rsidRDefault="00945E79" w:rsidP="00C24D3F">
            <w:pPr>
              <w:rPr>
                <w:color w:val="002060"/>
              </w:rPr>
            </w:pPr>
            <w:r w:rsidRPr="00945E79">
              <w:rPr>
                <w:color w:val="002060"/>
              </w:rPr>
              <w:t xml:space="preserve">Set an FE callback </w:t>
            </w:r>
          </w:p>
        </w:tc>
        <w:tc>
          <w:tcPr>
            <w:tcW w:w="4585" w:type="dxa"/>
          </w:tcPr>
          <w:p w14:paraId="09E5AC0A" w14:textId="77777777" w:rsidR="00945E79" w:rsidRPr="00945E79" w:rsidRDefault="00945E79" w:rsidP="00945E79">
            <w:pPr>
              <w:pStyle w:val="ListParagraph"/>
              <w:numPr>
                <w:ilvl w:val="0"/>
                <w:numId w:val="4"/>
              </w:numPr>
              <w:rPr>
                <w:color w:val="002060"/>
              </w:rPr>
            </w:pPr>
            <w:r w:rsidRPr="00945E79">
              <w:rPr>
                <w:color w:val="002060"/>
              </w:rPr>
              <w:t>Set the call back for 25 days</w:t>
            </w:r>
          </w:p>
        </w:tc>
      </w:tr>
    </w:tbl>
    <w:p w14:paraId="1C94D177" w14:textId="77777777" w:rsidR="00945E79" w:rsidRDefault="00945E79" w:rsidP="00994D71">
      <w:pPr>
        <w:ind w:left="100"/>
      </w:pPr>
    </w:p>
    <w:p w14:paraId="407C99E9" w14:textId="77777777" w:rsidR="00945E79" w:rsidRDefault="00945E79" w:rsidP="00994D71">
      <w:pPr>
        <w:ind w:left="100"/>
      </w:pPr>
    </w:p>
    <w:sectPr w:rsidR="00945E79" w:rsidSect="00106857">
      <w:headerReference w:type="default" r:id="rId14"/>
      <w:footerReference w:type="default" r:id="rId15"/>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EAB5" w14:textId="77777777" w:rsidR="00EC4071" w:rsidRDefault="00EC4071" w:rsidP="00F26DDA">
      <w:pPr>
        <w:spacing w:after="0" w:line="240" w:lineRule="auto"/>
      </w:pPr>
      <w:r>
        <w:separator/>
      </w:r>
    </w:p>
  </w:endnote>
  <w:endnote w:type="continuationSeparator" w:id="0">
    <w:p w14:paraId="1E14339B" w14:textId="77777777" w:rsidR="00EC4071" w:rsidRDefault="00EC4071" w:rsidP="00F26DDA">
      <w:pPr>
        <w:spacing w:after="0" w:line="240" w:lineRule="auto"/>
      </w:pPr>
      <w:r>
        <w:continuationSeparator/>
      </w:r>
    </w:p>
  </w:endnote>
  <w:endnote w:type="continuationNotice" w:id="1">
    <w:p w14:paraId="629E0108" w14:textId="77777777" w:rsidR="00EC4071" w:rsidRDefault="00EC4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030524"/>
      <w:docPartObj>
        <w:docPartGallery w:val="Page Numbers (Bottom of Page)"/>
        <w:docPartUnique/>
      </w:docPartObj>
    </w:sdtPr>
    <w:sdtContent>
      <w:sdt>
        <w:sdtPr>
          <w:id w:val="-1705238520"/>
          <w:docPartObj>
            <w:docPartGallery w:val="Page Numbers (Top of Page)"/>
            <w:docPartUnique/>
          </w:docPartObj>
        </w:sdtPr>
        <w:sdtContent>
          <w:p w14:paraId="0A833A79" w14:textId="7108C7A9" w:rsidR="00F26DDA" w:rsidRDefault="00F26DDA">
            <w:pPr>
              <w:pStyle w:val="Footer"/>
            </w:pPr>
            <w:r w:rsidRPr="00F26DDA">
              <w:rPr>
                <w:color w:val="002060"/>
                <w:sz w:val="18"/>
                <w:szCs w:val="18"/>
              </w:rPr>
              <w:t xml:space="preserve">Page </w:t>
            </w:r>
            <w:r w:rsidRPr="00F26DDA">
              <w:rPr>
                <w:b/>
                <w:bCs/>
                <w:color w:val="002060"/>
                <w:sz w:val="18"/>
                <w:szCs w:val="18"/>
              </w:rPr>
              <w:fldChar w:fldCharType="begin"/>
            </w:r>
            <w:r w:rsidRPr="00F26DDA">
              <w:rPr>
                <w:b/>
                <w:bCs/>
                <w:color w:val="002060"/>
                <w:sz w:val="18"/>
                <w:szCs w:val="18"/>
              </w:rPr>
              <w:instrText xml:space="preserve"> PAGE </w:instrText>
            </w:r>
            <w:r w:rsidRPr="00F26DDA">
              <w:rPr>
                <w:b/>
                <w:bCs/>
                <w:color w:val="002060"/>
                <w:sz w:val="18"/>
                <w:szCs w:val="18"/>
              </w:rPr>
              <w:fldChar w:fldCharType="separate"/>
            </w:r>
            <w:r w:rsidRPr="00F26DDA">
              <w:rPr>
                <w:b/>
                <w:bCs/>
                <w:noProof/>
                <w:color w:val="002060"/>
                <w:sz w:val="18"/>
                <w:szCs w:val="18"/>
              </w:rPr>
              <w:t>2</w:t>
            </w:r>
            <w:r w:rsidRPr="00F26DDA">
              <w:rPr>
                <w:b/>
                <w:bCs/>
                <w:color w:val="002060"/>
                <w:sz w:val="18"/>
                <w:szCs w:val="18"/>
              </w:rPr>
              <w:fldChar w:fldCharType="end"/>
            </w:r>
            <w:r w:rsidRPr="00F26DDA">
              <w:rPr>
                <w:color w:val="002060"/>
                <w:sz w:val="18"/>
                <w:szCs w:val="18"/>
              </w:rPr>
              <w:t xml:space="preserve"> of </w:t>
            </w:r>
            <w:r w:rsidRPr="00F26DDA">
              <w:rPr>
                <w:b/>
                <w:bCs/>
                <w:color w:val="002060"/>
                <w:sz w:val="18"/>
                <w:szCs w:val="18"/>
              </w:rPr>
              <w:fldChar w:fldCharType="begin"/>
            </w:r>
            <w:r w:rsidRPr="00F26DDA">
              <w:rPr>
                <w:b/>
                <w:bCs/>
                <w:color w:val="002060"/>
                <w:sz w:val="18"/>
                <w:szCs w:val="18"/>
              </w:rPr>
              <w:instrText xml:space="preserve"> NUMPAGES  </w:instrText>
            </w:r>
            <w:r w:rsidRPr="00F26DDA">
              <w:rPr>
                <w:b/>
                <w:bCs/>
                <w:color w:val="002060"/>
                <w:sz w:val="18"/>
                <w:szCs w:val="18"/>
              </w:rPr>
              <w:fldChar w:fldCharType="separate"/>
            </w:r>
            <w:r w:rsidRPr="00F26DDA">
              <w:rPr>
                <w:b/>
                <w:bCs/>
                <w:noProof/>
                <w:color w:val="002060"/>
                <w:sz w:val="18"/>
                <w:szCs w:val="18"/>
              </w:rPr>
              <w:t>2</w:t>
            </w:r>
            <w:r w:rsidRPr="00F26DDA">
              <w:rPr>
                <w:b/>
                <w:bCs/>
                <w:color w:val="002060"/>
                <w:sz w:val="18"/>
                <w:szCs w:val="18"/>
              </w:rPr>
              <w:fldChar w:fldCharType="end"/>
            </w:r>
          </w:p>
        </w:sdtContent>
      </w:sdt>
    </w:sdtContent>
  </w:sdt>
  <w:p w14:paraId="1E7BFC01" w14:textId="77777777" w:rsidR="00F26DDA" w:rsidRDefault="00F2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3A99" w14:textId="77777777" w:rsidR="00EC4071" w:rsidRDefault="00EC4071" w:rsidP="00F26DDA">
      <w:pPr>
        <w:spacing w:after="0" w:line="240" w:lineRule="auto"/>
      </w:pPr>
      <w:r>
        <w:separator/>
      </w:r>
    </w:p>
  </w:footnote>
  <w:footnote w:type="continuationSeparator" w:id="0">
    <w:p w14:paraId="57FD7EF6" w14:textId="77777777" w:rsidR="00EC4071" w:rsidRDefault="00EC4071" w:rsidP="00F26DDA">
      <w:pPr>
        <w:spacing w:after="0" w:line="240" w:lineRule="auto"/>
      </w:pPr>
      <w:r>
        <w:continuationSeparator/>
      </w:r>
    </w:p>
  </w:footnote>
  <w:footnote w:type="continuationNotice" w:id="1">
    <w:p w14:paraId="1BA408B2" w14:textId="77777777" w:rsidR="00EC4071" w:rsidRDefault="00EC4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8C12" w14:textId="4C4A5268" w:rsidR="00F26DDA" w:rsidRDefault="00F26DDA" w:rsidP="00F26DDA">
    <w:pPr>
      <w:pStyle w:val="Header"/>
      <w:tabs>
        <w:tab w:val="clear" w:pos="4680"/>
        <w:tab w:val="clear" w:pos="9360"/>
        <w:tab w:val="left" w:pos="3449"/>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BA4"/>
    <w:multiLevelType w:val="hybridMultilevel"/>
    <w:tmpl w:val="FB2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3E35"/>
    <w:multiLevelType w:val="hybridMultilevel"/>
    <w:tmpl w:val="8ADE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30E17"/>
    <w:multiLevelType w:val="hybridMultilevel"/>
    <w:tmpl w:val="6C22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87FD1"/>
    <w:multiLevelType w:val="hybridMultilevel"/>
    <w:tmpl w:val="E224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370F2"/>
    <w:multiLevelType w:val="hybridMultilevel"/>
    <w:tmpl w:val="3798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459D2"/>
    <w:multiLevelType w:val="hybridMultilevel"/>
    <w:tmpl w:val="22EE5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835572">
    <w:abstractNumId w:val="3"/>
  </w:num>
  <w:num w:numId="2" w16cid:durableId="1010638566">
    <w:abstractNumId w:val="1"/>
  </w:num>
  <w:num w:numId="3" w16cid:durableId="115758690">
    <w:abstractNumId w:val="2"/>
  </w:num>
  <w:num w:numId="4" w16cid:durableId="1627272945">
    <w:abstractNumId w:val="4"/>
  </w:num>
  <w:num w:numId="5" w16cid:durableId="353001131">
    <w:abstractNumId w:val="0"/>
  </w:num>
  <w:num w:numId="6" w16cid:durableId="1393118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7"/>
    <w:rsid w:val="00001C20"/>
    <w:rsid w:val="000112C0"/>
    <w:rsid w:val="00014893"/>
    <w:rsid w:val="00021030"/>
    <w:rsid w:val="0002653A"/>
    <w:rsid w:val="00042BE7"/>
    <w:rsid w:val="00042C80"/>
    <w:rsid w:val="00047C3A"/>
    <w:rsid w:val="00054AE1"/>
    <w:rsid w:val="000703BB"/>
    <w:rsid w:val="00095EF0"/>
    <w:rsid w:val="000A7DBF"/>
    <w:rsid w:val="000C702C"/>
    <w:rsid w:val="000D4C01"/>
    <w:rsid w:val="000E2052"/>
    <w:rsid w:val="000E43F5"/>
    <w:rsid w:val="000E66D1"/>
    <w:rsid w:val="000F166B"/>
    <w:rsid w:val="000F396A"/>
    <w:rsid w:val="0010006E"/>
    <w:rsid w:val="00106857"/>
    <w:rsid w:val="0011193E"/>
    <w:rsid w:val="001155E0"/>
    <w:rsid w:val="00141274"/>
    <w:rsid w:val="001462C4"/>
    <w:rsid w:val="0014719D"/>
    <w:rsid w:val="00155703"/>
    <w:rsid w:val="0015716E"/>
    <w:rsid w:val="001573C1"/>
    <w:rsid w:val="001621B3"/>
    <w:rsid w:val="00175797"/>
    <w:rsid w:val="00176439"/>
    <w:rsid w:val="00177BF3"/>
    <w:rsid w:val="0019453B"/>
    <w:rsid w:val="001A2D62"/>
    <w:rsid w:val="001B02A4"/>
    <w:rsid w:val="001B3049"/>
    <w:rsid w:val="001C1E75"/>
    <w:rsid w:val="001C3469"/>
    <w:rsid w:val="001D00D8"/>
    <w:rsid w:val="001D58DB"/>
    <w:rsid w:val="001E4C61"/>
    <w:rsid w:val="001E53A7"/>
    <w:rsid w:val="001E6556"/>
    <w:rsid w:val="001F040D"/>
    <w:rsid w:val="001F2ED3"/>
    <w:rsid w:val="001F59CD"/>
    <w:rsid w:val="001F639C"/>
    <w:rsid w:val="001F77AF"/>
    <w:rsid w:val="0023766B"/>
    <w:rsid w:val="00240357"/>
    <w:rsid w:val="002443F5"/>
    <w:rsid w:val="00261910"/>
    <w:rsid w:val="00263E0F"/>
    <w:rsid w:val="0027219A"/>
    <w:rsid w:val="002812F7"/>
    <w:rsid w:val="0028773A"/>
    <w:rsid w:val="002908FA"/>
    <w:rsid w:val="00295602"/>
    <w:rsid w:val="002B7587"/>
    <w:rsid w:val="002C1B29"/>
    <w:rsid w:val="002C2085"/>
    <w:rsid w:val="002C2B3C"/>
    <w:rsid w:val="002C6EE8"/>
    <w:rsid w:val="002E1568"/>
    <w:rsid w:val="002F7ECC"/>
    <w:rsid w:val="0030346D"/>
    <w:rsid w:val="0031634E"/>
    <w:rsid w:val="00324DBC"/>
    <w:rsid w:val="00333374"/>
    <w:rsid w:val="003341AF"/>
    <w:rsid w:val="00334447"/>
    <w:rsid w:val="00337996"/>
    <w:rsid w:val="00355C72"/>
    <w:rsid w:val="003662EB"/>
    <w:rsid w:val="0037359B"/>
    <w:rsid w:val="00384B04"/>
    <w:rsid w:val="00393159"/>
    <w:rsid w:val="00393E34"/>
    <w:rsid w:val="003B5F02"/>
    <w:rsid w:val="003B7CB4"/>
    <w:rsid w:val="003C1129"/>
    <w:rsid w:val="003C2AB9"/>
    <w:rsid w:val="003C4408"/>
    <w:rsid w:val="00400F4C"/>
    <w:rsid w:val="00404779"/>
    <w:rsid w:val="00406D30"/>
    <w:rsid w:val="0042013E"/>
    <w:rsid w:val="00430AAB"/>
    <w:rsid w:val="00443C4A"/>
    <w:rsid w:val="0044564D"/>
    <w:rsid w:val="00453170"/>
    <w:rsid w:val="00455159"/>
    <w:rsid w:val="00460507"/>
    <w:rsid w:val="0048259A"/>
    <w:rsid w:val="00482CDB"/>
    <w:rsid w:val="00483545"/>
    <w:rsid w:val="00494DC1"/>
    <w:rsid w:val="004975DD"/>
    <w:rsid w:val="004C9719"/>
    <w:rsid w:val="004D1120"/>
    <w:rsid w:val="004F1348"/>
    <w:rsid w:val="004F32E9"/>
    <w:rsid w:val="00503570"/>
    <w:rsid w:val="00526C9B"/>
    <w:rsid w:val="0053758E"/>
    <w:rsid w:val="00541108"/>
    <w:rsid w:val="00541FE9"/>
    <w:rsid w:val="00545525"/>
    <w:rsid w:val="00552503"/>
    <w:rsid w:val="00554305"/>
    <w:rsid w:val="005642C0"/>
    <w:rsid w:val="005838B2"/>
    <w:rsid w:val="00587241"/>
    <w:rsid w:val="00596F67"/>
    <w:rsid w:val="005A2BB1"/>
    <w:rsid w:val="005C2E04"/>
    <w:rsid w:val="005E01E1"/>
    <w:rsid w:val="005F0B41"/>
    <w:rsid w:val="005F4507"/>
    <w:rsid w:val="005F5AE4"/>
    <w:rsid w:val="00600A19"/>
    <w:rsid w:val="00607719"/>
    <w:rsid w:val="00614138"/>
    <w:rsid w:val="00621E33"/>
    <w:rsid w:val="0062758C"/>
    <w:rsid w:val="00630F37"/>
    <w:rsid w:val="00633B99"/>
    <w:rsid w:val="00640822"/>
    <w:rsid w:val="00650E13"/>
    <w:rsid w:val="00657C53"/>
    <w:rsid w:val="00665ADC"/>
    <w:rsid w:val="0068246D"/>
    <w:rsid w:val="006878AB"/>
    <w:rsid w:val="006A01DE"/>
    <w:rsid w:val="006A772B"/>
    <w:rsid w:val="006E33A3"/>
    <w:rsid w:val="006E4CF1"/>
    <w:rsid w:val="006E514B"/>
    <w:rsid w:val="006F3747"/>
    <w:rsid w:val="00727AED"/>
    <w:rsid w:val="007417A7"/>
    <w:rsid w:val="0074418B"/>
    <w:rsid w:val="00747619"/>
    <w:rsid w:val="00763B64"/>
    <w:rsid w:val="00770855"/>
    <w:rsid w:val="00773055"/>
    <w:rsid w:val="00785D4B"/>
    <w:rsid w:val="00793EF8"/>
    <w:rsid w:val="007B7572"/>
    <w:rsid w:val="007C4615"/>
    <w:rsid w:val="007C5EB1"/>
    <w:rsid w:val="007D001F"/>
    <w:rsid w:val="007D1EFF"/>
    <w:rsid w:val="007F0706"/>
    <w:rsid w:val="007F5F51"/>
    <w:rsid w:val="00800B63"/>
    <w:rsid w:val="00816269"/>
    <w:rsid w:val="00824316"/>
    <w:rsid w:val="00832D5C"/>
    <w:rsid w:val="00837F0F"/>
    <w:rsid w:val="00840DE8"/>
    <w:rsid w:val="00843F84"/>
    <w:rsid w:val="008470C4"/>
    <w:rsid w:val="00852FFF"/>
    <w:rsid w:val="008548C2"/>
    <w:rsid w:val="0087195B"/>
    <w:rsid w:val="00886311"/>
    <w:rsid w:val="00892F9A"/>
    <w:rsid w:val="008951B4"/>
    <w:rsid w:val="008A0C1B"/>
    <w:rsid w:val="008C4880"/>
    <w:rsid w:val="008C72CD"/>
    <w:rsid w:val="008E2B9A"/>
    <w:rsid w:val="008E6E9F"/>
    <w:rsid w:val="008F6897"/>
    <w:rsid w:val="0090158A"/>
    <w:rsid w:val="009169D4"/>
    <w:rsid w:val="00941552"/>
    <w:rsid w:val="00945E79"/>
    <w:rsid w:val="00952FE8"/>
    <w:rsid w:val="00961492"/>
    <w:rsid w:val="00977C75"/>
    <w:rsid w:val="00977E9B"/>
    <w:rsid w:val="00984A6F"/>
    <w:rsid w:val="00994D71"/>
    <w:rsid w:val="009A31B7"/>
    <w:rsid w:val="009B30FA"/>
    <w:rsid w:val="009B7E3F"/>
    <w:rsid w:val="009C7550"/>
    <w:rsid w:val="009D321B"/>
    <w:rsid w:val="009E02E7"/>
    <w:rsid w:val="009E4E32"/>
    <w:rsid w:val="009E62E7"/>
    <w:rsid w:val="009F266B"/>
    <w:rsid w:val="00A04FD2"/>
    <w:rsid w:val="00A1329E"/>
    <w:rsid w:val="00A216F6"/>
    <w:rsid w:val="00A2252D"/>
    <w:rsid w:val="00A27CF6"/>
    <w:rsid w:val="00A30B31"/>
    <w:rsid w:val="00A53F00"/>
    <w:rsid w:val="00A576D3"/>
    <w:rsid w:val="00A600AF"/>
    <w:rsid w:val="00A64EA1"/>
    <w:rsid w:val="00A72C35"/>
    <w:rsid w:val="00A73C2C"/>
    <w:rsid w:val="00A808FC"/>
    <w:rsid w:val="00A824F8"/>
    <w:rsid w:val="00A8627B"/>
    <w:rsid w:val="00AA2F39"/>
    <w:rsid w:val="00AA366E"/>
    <w:rsid w:val="00AB0555"/>
    <w:rsid w:val="00AB7B7E"/>
    <w:rsid w:val="00AC1674"/>
    <w:rsid w:val="00AD1FEA"/>
    <w:rsid w:val="00AE1AF7"/>
    <w:rsid w:val="00AE41E9"/>
    <w:rsid w:val="00AE6884"/>
    <w:rsid w:val="00AE788B"/>
    <w:rsid w:val="00B14EF8"/>
    <w:rsid w:val="00B22E83"/>
    <w:rsid w:val="00B27BD7"/>
    <w:rsid w:val="00B61024"/>
    <w:rsid w:val="00B625F2"/>
    <w:rsid w:val="00B71C43"/>
    <w:rsid w:val="00B872E4"/>
    <w:rsid w:val="00B93182"/>
    <w:rsid w:val="00B96231"/>
    <w:rsid w:val="00B96438"/>
    <w:rsid w:val="00BA00FF"/>
    <w:rsid w:val="00BA522D"/>
    <w:rsid w:val="00BA7856"/>
    <w:rsid w:val="00BB400A"/>
    <w:rsid w:val="00BD3F0E"/>
    <w:rsid w:val="00BE0FD0"/>
    <w:rsid w:val="00BE106F"/>
    <w:rsid w:val="00BF3521"/>
    <w:rsid w:val="00C12BCC"/>
    <w:rsid w:val="00C17920"/>
    <w:rsid w:val="00C2170D"/>
    <w:rsid w:val="00C24D09"/>
    <w:rsid w:val="00C36C5C"/>
    <w:rsid w:val="00C424B8"/>
    <w:rsid w:val="00C428A6"/>
    <w:rsid w:val="00C62E21"/>
    <w:rsid w:val="00C7220E"/>
    <w:rsid w:val="00C73F10"/>
    <w:rsid w:val="00C83A09"/>
    <w:rsid w:val="00CA38E8"/>
    <w:rsid w:val="00CB2703"/>
    <w:rsid w:val="00CD4D22"/>
    <w:rsid w:val="00CF2419"/>
    <w:rsid w:val="00CF5AAF"/>
    <w:rsid w:val="00CF6F43"/>
    <w:rsid w:val="00D02DC1"/>
    <w:rsid w:val="00D04C2C"/>
    <w:rsid w:val="00D12CB3"/>
    <w:rsid w:val="00D14F64"/>
    <w:rsid w:val="00D155FE"/>
    <w:rsid w:val="00D313AE"/>
    <w:rsid w:val="00D33CDD"/>
    <w:rsid w:val="00D34536"/>
    <w:rsid w:val="00D40E32"/>
    <w:rsid w:val="00D434A6"/>
    <w:rsid w:val="00D5097F"/>
    <w:rsid w:val="00D5269E"/>
    <w:rsid w:val="00D53EB9"/>
    <w:rsid w:val="00D57B2B"/>
    <w:rsid w:val="00D67EB3"/>
    <w:rsid w:val="00D727F2"/>
    <w:rsid w:val="00D75E30"/>
    <w:rsid w:val="00D82F54"/>
    <w:rsid w:val="00D91789"/>
    <w:rsid w:val="00DA6475"/>
    <w:rsid w:val="00DE321E"/>
    <w:rsid w:val="00DE3548"/>
    <w:rsid w:val="00DE3DDF"/>
    <w:rsid w:val="00E14C8E"/>
    <w:rsid w:val="00E4240E"/>
    <w:rsid w:val="00E51D22"/>
    <w:rsid w:val="00E65744"/>
    <w:rsid w:val="00E6741F"/>
    <w:rsid w:val="00E8227D"/>
    <w:rsid w:val="00E86C1D"/>
    <w:rsid w:val="00E87953"/>
    <w:rsid w:val="00EC3C15"/>
    <w:rsid w:val="00EC4071"/>
    <w:rsid w:val="00ED1078"/>
    <w:rsid w:val="00ED532E"/>
    <w:rsid w:val="00EF640C"/>
    <w:rsid w:val="00EF6502"/>
    <w:rsid w:val="00F00D6F"/>
    <w:rsid w:val="00F016F3"/>
    <w:rsid w:val="00F1564C"/>
    <w:rsid w:val="00F26DDA"/>
    <w:rsid w:val="00F312B7"/>
    <w:rsid w:val="00F32231"/>
    <w:rsid w:val="00F414FE"/>
    <w:rsid w:val="00F525DC"/>
    <w:rsid w:val="00F70A9B"/>
    <w:rsid w:val="00F742D1"/>
    <w:rsid w:val="00F91A6C"/>
    <w:rsid w:val="00F92846"/>
    <w:rsid w:val="00FA53F1"/>
    <w:rsid w:val="00FB7BF2"/>
    <w:rsid w:val="00FC44C4"/>
    <w:rsid w:val="00FC4C50"/>
    <w:rsid w:val="00FC7F23"/>
    <w:rsid w:val="00FD7E2E"/>
    <w:rsid w:val="00FE0E18"/>
    <w:rsid w:val="00FF34CF"/>
    <w:rsid w:val="00FF3D96"/>
    <w:rsid w:val="0113BBAC"/>
    <w:rsid w:val="0119A0B7"/>
    <w:rsid w:val="0167C44C"/>
    <w:rsid w:val="01A395E8"/>
    <w:rsid w:val="01A518AE"/>
    <w:rsid w:val="02BB823C"/>
    <w:rsid w:val="0351C7E9"/>
    <w:rsid w:val="0386193B"/>
    <w:rsid w:val="03DD331C"/>
    <w:rsid w:val="0420AC93"/>
    <w:rsid w:val="054FAD25"/>
    <w:rsid w:val="0594118D"/>
    <w:rsid w:val="05FAB020"/>
    <w:rsid w:val="0614610E"/>
    <w:rsid w:val="077E8C01"/>
    <w:rsid w:val="089832B0"/>
    <w:rsid w:val="097B8CB4"/>
    <w:rsid w:val="09D88FB8"/>
    <w:rsid w:val="09FEE1A5"/>
    <w:rsid w:val="0AA95D1B"/>
    <w:rsid w:val="0B7DBBF5"/>
    <w:rsid w:val="0BA1A324"/>
    <w:rsid w:val="0BF0B6FB"/>
    <w:rsid w:val="0BF2A3E7"/>
    <w:rsid w:val="0D0DF1FB"/>
    <w:rsid w:val="0D258942"/>
    <w:rsid w:val="0D31C0D4"/>
    <w:rsid w:val="0E9F5F16"/>
    <w:rsid w:val="0EA9FD46"/>
    <w:rsid w:val="0F10ED96"/>
    <w:rsid w:val="0F5C4B8F"/>
    <w:rsid w:val="102BC787"/>
    <w:rsid w:val="10FD3D57"/>
    <w:rsid w:val="11036A37"/>
    <w:rsid w:val="112E0C52"/>
    <w:rsid w:val="12045AFA"/>
    <w:rsid w:val="120F908B"/>
    <w:rsid w:val="1444CB5E"/>
    <w:rsid w:val="14D05E4F"/>
    <w:rsid w:val="14D39BD8"/>
    <w:rsid w:val="153933AC"/>
    <w:rsid w:val="1550B3CD"/>
    <w:rsid w:val="16845B15"/>
    <w:rsid w:val="1693BEEF"/>
    <w:rsid w:val="16C15C20"/>
    <w:rsid w:val="18F07679"/>
    <w:rsid w:val="190DD1B8"/>
    <w:rsid w:val="198B29FA"/>
    <w:rsid w:val="1A22ECA0"/>
    <w:rsid w:val="1BDE4792"/>
    <w:rsid w:val="1D978871"/>
    <w:rsid w:val="1E2F9651"/>
    <w:rsid w:val="1E8BEA37"/>
    <w:rsid w:val="1E9A170C"/>
    <w:rsid w:val="204DB127"/>
    <w:rsid w:val="221DE261"/>
    <w:rsid w:val="224CC861"/>
    <w:rsid w:val="224F9955"/>
    <w:rsid w:val="2273354D"/>
    <w:rsid w:val="2285832D"/>
    <w:rsid w:val="23093C41"/>
    <w:rsid w:val="23190A74"/>
    <w:rsid w:val="243A3D46"/>
    <w:rsid w:val="2497A317"/>
    <w:rsid w:val="24DB13B9"/>
    <w:rsid w:val="24DE0840"/>
    <w:rsid w:val="2577D344"/>
    <w:rsid w:val="268A9BCA"/>
    <w:rsid w:val="285E6337"/>
    <w:rsid w:val="28609BFF"/>
    <w:rsid w:val="2A888E78"/>
    <w:rsid w:val="2ADFB4C3"/>
    <w:rsid w:val="2C377174"/>
    <w:rsid w:val="2C4BC71C"/>
    <w:rsid w:val="2C7F514E"/>
    <w:rsid w:val="2D37F059"/>
    <w:rsid w:val="2D9FF0A4"/>
    <w:rsid w:val="309C3C3A"/>
    <w:rsid w:val="314BC6AA"/>
    <w:rsid w:val="317DF260"/>
    <w:rsid w:val="31D1E2F7"/>
    <w:rsid w:val="3205D5ED"/>
    <w:rsid w:val="320B2720"/>
    <w:rsid w:val="3250293A"/>
    <w:rsid w:val="32813CEE"/>
    <w:rsid w:val="35B8C1B4"/>
    <w:rsid w:val="36A1CCC3"/>
    <w:rsid w:val="36AD23B1"/>
    <w:rsid w:val="37A8082E"/>
    <w:rsid w:val="37D845A4"/>
    <w:rsid w:val="38951674"/>
    <w:rsid w:val="39203C56"/>
    <w:rsid w:val="39725638"/>
    <w:rsid w:val="39F08951"/>
    <w:rsid w:val="39F4A5D4"/>
    <w:rsid w:val="3A628C66"/>
    <w:rsid w:val="3AF8AFE8"/>
    <w:rsid w:val="3C13F5A1"/>
    <w:rsid w:val="3C1B4938"/>
    <w:rsid w:val="3CCC8767"/>
    <w:rsid w:val="3D16367E"/>
    <w:rsid w:val="3D3ED9BC"/>
    <w:rsid w:val="3DFD4B68"/>
    <w:rsid w:val="3E0C8926"/>
    <w:rsid w:val="3E6D6E6D"/>
    <w:rsid w:val="3FB9CCB3"/>
    <w:rsid w:val="40D30A42"/>
    <w:rsid w:val="41EF61D4"/>
    <w:rsid w:val="423E8477"/>
    <w:rsid w:val="475B301A"/>
    <w:rsid w:val="4785B2F1"/>
    <w:rsid w:val="47B159A2"/>
    <w:rsid w:val="48DD00B6"/>
    <w:rsid w:val="4A66FCC1"/>
    <w:rsid w:val="4A6E9E16"/>
    <w:rsid w:val="4BDBA320"/>
    <w:rsid w:val="4C44F3B5"/>
    <w:rsid w:val="4EEC41D8"/>
    <w:rsid w:val="4F4A673C"/>
    <w:rsid w:val="4FF825FA"/>
    <w:rsid w:val="503727F5"/>
    <w:rsid w:val="53B83DB6"/>
    <w:rsid w:val="54A83FCB"/>
    <w:rsid w:val="54B9EB85"/>
    <w:rsid w:val="55E9EB6D"/>
    <w:rsid w:val="5667F3FF"/>
    <w:rsid w:val="56921B55"/>
    <w:rsid w:val="56FB8B2E"/>
    <w:rsid w:val="571C1023"/>
    <w:rsid w:val="57390C63"/>
    <w:rsid w:val="57E9B871"/>
    <w:rsid w:val="5A0F66D5"/>
    <w:rsid w:val="5AA8229B"/>
    <w:rsid w:val="5ACA49B3"/>
    <w:rsid w:val="5B3980D9"/>
    <w:rsid w:val="5B4CB480"/>
    <w:rsid w:val="5BC91614"/>
    <w:rsid w:val="5E0A4485"/>
    <w:rsid w:val="5E4E8430"/>
    <w:rsid w:val="5E89A2BF"/>
    <w:rsid w:val="5E9A8F7B"/>
    <w:rsid w:val="5EB7398F"/>
    <w:rsid w:val="5EFC530D"/>
    <w:rsid w:val="5F660670"/>
    <w:rsid w:val="5FB0AF40"/>
    <w:rsid w:val="5FE50D90"/>
    <w:rsid w:val="606117F9"/>
    <w:rsid w:val="61164C62"/>
    <w:rsid w:val="616E7F67"/>
    <w:rsid w:val="61D62DE3"/>
    <w:rsid w:val="62B91FA3"/>
    <w:rsid w:val="62FC2805"/>
    <w:rsid w:val="63976A9F"/>
    <w:rsid w:val="63B62AEB"/>
    <w:rsid w:val="63DDF1A7"/>
    <w:rsid w:val="649688ED"/>
    <w:rsid w:val="649A799D"/>
    <w:rsid w:val="64CDCDEE"/>
    <w:rsid w:val="656BFB1E"/>
    <w:rsid w:val="65DF7FC2"/>
    <w:rsid w:val="66068CBE"/>
    <w:rsid w:val="6864C33C"/>
    <w:rsid w:val="69DC65EC"/>
    <w:rsid w:val="6AA78D96"/>
    <w:rsid w:val="6CD2B681"/>
    <w:rsid w:val="6DB23BF0"/>
    <w:rsid w:val="6E3CDE2F"/>
    <w:rsid w:val="6EB62FB6"/>
    <w:rsid w:val="6FF23A75"/>
    <w:rsid w:val="70E38829"/>
    <w:rsid w:val="72E2C16D"/>
    <w:rsid w:val="730FA20A"/>
    <w:rsid w:val="77F77A5D"/>
    <w:rsid w:val="786FEA1E"/>
    <w:rsid w:val="78D87C36"/>
    <w:rsid w:val="79228388"/>
    <w:rsid w:val="79C8B9C4"/>
    <w:rsid w:val="7AC91624"/>
    <w:rsid w:val="7ACE5DA2"/>
    <w:rsid w:val="7B1D6D50"/>
    <w:rsid w:val="7B32DD14"/>
    <w:rsid w:val="7B81BD7D"/>
    <w:rsid w:val="7BAC2D6D"/>
    <w:rsid w:val="7BCF9E03"/>
    <w:rsid w:val="7C1BFA75"/>
    <w:rsid w:val="7C364A8F"/>
    <w:rsid w:val="7D146BF4"/>
    <w:rsid w:val="7D567756"/>
    <w:rsid w:val="7F5C7A8F"/>
    <w:rsid w:val="7F65154A"/>
    <w:rsid w:val="7FEAE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5D353"/>
  <w15:chartTrackingRefBased/>
  <w15:docId w15:val="{5B53459C-56B3-4E19-952C-9AD7883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447"/>
    <w:rPr>
      <w:rFonts w:eastAsiaTheme="majorEastAsia" w:cstheme="majorBidi"/>
      <w:color w:val="272727" w:themeColor="text1" w:themeTint="D8"/>
    </w:rPr>
  </w:style>
  <w:style w:type="paragraph" w:styleId="Title">
    <w:name w:val="Title"/>
    <w:basedOn w:val="Normal"/>
    <w:next w:val="Normal"/>
    <w:link w:val="TitleChar"/>
    <w:uiPriority w:val="10"/>
    <w:qFormat/>
    <w:rsid w:val="00334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447"/>
    <w:pPr>
      <w:spacing w:before="160"/>
      <w:jc w:val="center"/>
    </w:pPr>
    <w:rPr>
      <w:i/>
      <w:iCs/>
      <w:color w:val="404040" w:themeColor="text1" w:themeTint="BF"/>
    </w:rPr>
  </w:style>
  <w:style w:type="character" w:customStyle="1" w:styleId="QuoteChar">
    <w:name w:val="Quote Char"/>
    <w:basedOn w:val="DefaultParagraphFont"/>
    <w:link w:val="Quote"/>
    <w:uiPriority w:val="29"/>
    <w:rsid w:val="00334447"/>
    <w:rPr>
      <w:i/>
      <w:iCs/>
      <w:color w:val="404040" w:themeColor="text1" w:themeTint="BF"/>
    </w:rPr>
  </w:style>
  <w:style w:type="paragraph" w:styleId="ListParagraph">
    <w:name w:val="List Paragraph"/>
    <w:basedOn w:val="Normal"/>
    <w:uiPriority w:val="34"/>
    <w:qFormat/>
    <w:rsid w:val="00334447"/>
    <w:pPr>
      <w:ind w:left="720"/>
      <w:contextualSpacing/>
    </w:pPr>
  </w:style>
  <w:style w:type="character" w:styleId="IntenseEmphasis">
    <w:name w:val="Intense Emphasis"/>
    <w:basedOn w:val="DefaultParagraphFont"/>
    <w:uiPriority w:val="21"/>
    <w:qFormat/>
    <w:rsid w:val="00334447"/>
    <w:rPr>
      <w:i/>
      <w:iCs/>
      <w:color w:val="0F4761" w:themeColor="accent1" w:themeShade="BF"/>
    </w:rPr>
  </w:style>
  <w:style w:type="paragraph" w:styleId="IntenseQuote">
    <w:name w:val="Intense Quote"/>
    <w:basedOn w:val="Normal"/>
    <w:next w:val="Normal"/>
    <w:link w:val="IntenseQuoteChar"/>
    <w:uiPriority w:val="30"/>
    <w:qFormat/>
    <w:rsid w:val="0033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447"/>
    <w:rPr>
      <w:i/>
      <w:iCs/>
      <w:color w:val="0F4761" w:themeColor="accent1" w:themeShade="BF"/>
    </w:rPr>
  </w:style>
  <w:style w:type="character" w:styleId="IntenseReference">
    <w:name w:val="Intense Reference"/>
    <w:basedOn w:val="DefaultParagraphFont"/>
    <w:uiPriority w:val="32"/>
    <w:qFormat/>
    <w:rsid w:val="00334447"/>
    <w:rPr>
      <w:b/>
      <w:bCs/>
      <w:smallCaps/>
      <w:color w:val="0F4761" w:themeColor="accent1" w:themeShade="BF"/>
      <w:spacing w:val="5"/>
    </w:rPr>
  </w:style>
  <w:style w:type="table" w:styleId="TableGrid">
    <w:name w:val="Table Grid"/>
    <w:basedOn w:val="TableNormal"/>
    <w:uiPriority w:val="39"/>
    <w:rsid w:val="0033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522D"/>
    <w:rPr>
      <w:rFonts w:ascii="Times New Roman" w:hAnsi="Times New Roman" w:cs="Times New Roman"/>
    </w:rPr>
  </w:style>
  <w:style w:type="paragraph" w:styleId="Header">
    <w:name w:val="header"/>
    <w:basedOn w:val="Normal"/>
    <w:link w:val="HeaderChar"/>
    <w:uiPriority w:val="99"/>
    <w:unhideWhenUsed/>
    <w:rsid w:val="00F26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DDA"/>
  </w:style>
  <w:style w:type="paragraph" w:styleId="Footer">
    <w:name w:val="footer"/>
    <w:basedOn w:val="Normal"/>
    <w:link w:val="FooterChar"/>
    <w:uiPriority w:val="99"/>
    <w:unhideWhenUsed/>
    <w:rsid w:val="00F26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DDA"/>
  </w:style>
  <w:style w:type="character" w:styleId="Hyperlink">
    <w:name w:val="Hyperlink"/>
    <w:basedOn w:val="DefaultParagraphFont"/>
    <w:uiPriority w:val="99"/>
    <w:unhideWhenUsed/>
    <w:rsid w:val="009E62E7"/>
    <w:rPr>
      <w:color w:val="467886" w:themeColor="hyperlink"/>
      <w:u w:val="single"/>
    </w:rPr>
  </w:style>
  <w:style w:type="character" w:styleId="CommentReference">
    <w:name w:val="annotation reference"/>
    <w:basedOn w:val="DefaultParagraphFont"/>
    <w:uiPriority w:val="99"/>
    <w:semiHidden/>
    <w:unhideWhenUsed/>
    <w:rsid w:val="009E62E7"/>
    <w:rPr>
      <w:sz w:val="16"/>
      <w:szCs w:val="16"/>
    </w:rPr>
  </w:style>
  <w:style w:type="paragraph" w:styleId="CommentText">
    <w:name w:val="annotation text"/>
    <w:basedOn w:val="Normal"/>
    <w:link w:val="CommentTextChar"/>
    <w:uiPriority w:val="99"/>
    <w:unhideWhenUsed/>
    <w:rsid w:val="009E62E7"/>
    <w:pPr>
      <w:spacing w:line="240" w:lineRule="auto"/>
    </w:pPr>
    <w:rPr>
      <w:sz w:val="20"/>
      <w:szCs w:val="20"/>
    </w:rPr>
  </w:style>
  <w:style w:type="character" w:customStyle="1" w:styleId="CommentTextChar">
    <w:name w:val="Comment Text Char"/>
    <w:basedOn w:val="DefaultParagraphFont"/>
    <w:link w:val="CommentText"/>
    <w:uiPriority w:val="99"/>
    <w:rsid w:val="009E62E7"/>
    <w:rPr>
      <w:sz w:val="20"/>
      <w:szCs w:val="20"/>
    </w:rPr>
  </w:style>
  <w:style w:type="paragraph" w:styleId="CommentSubject">
    <w:name w:val="annotation subject"/>
    <w:basedOn w:val="CommentText"/>
    <w:next w:val="CommentText"/>
    <w:link w:val="CommentSubjectChar"/>
    <w:uiPriority w:val="99"/>
    <w:semiHidden/>
    <w:unhideWhenUsed/>
    <w:rsid w:val="009E62E7"/>
    <w:rPr>
      <w:b/>
      <w:bCs/>
    </w:rPr>
  </w:style>
  <w:style w:type="character" w:customStyle="1" w:styleId="CommentSubjectChar">
    <w:name w:val="Comment Subject Char"/>
    <w:basedOn w:val="CommentTextChar"/>
    <w:link w:val="CommentSubject"/>
    <w:uiPriority w:val="99"/>
    <w:semiHidden/>
    <w:rsid w:val="009E62E7"/>
    <w:rPr>
      <w:b/>
      <w:bCs/>
      <w:sz w:val="20"/>
      <w:szCs w:val="20"/>
    </w:rPr>
  </w:style>
  <w:style w:type="character" w:styleId="UnresolvedMention">
    <w:name w:val="Unresolved Mention"/>
    <w:basedOn w:val="DefaultParagraphFont"/>
    <w:uiPriority w:val="99"/>
    <w:semiHidden/>
    <w:unhideWhenUsed/>
    <w:rsid w:val="009E62E7"/>
    <w:rPr>
      <w:color w:val="605E5C"/>
      <w:shd w:val="clear" w:color="auto" w:fill="E1DFDD"/>
    </w:rPr>
  </w:style>
  <w:style w:type="character" w:styleId="FollowedHyperlink">
    <w:name w:val="FollowedHyperlink"/>
    <w:basedOn w:val="DefaultParagraphFont"/>
    <w:uiPriority w:val="99"/>
    <w:semiHidden/>
    <w:unhideWhenUsed/>
    <w:rsid w:val="00AE41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47">
      <w:bodyDiv w:val="1"/>
      <w:marLeft w:val="0"/>
      <w:marRight w:val="0"/>
      <w:marTop w:val="0"/>
      <w:marBottom w:val="0"/>
      <w:divBdr>
        <w:top w:val="none" w:sz="0" w:space="0" w:color="auto"/>
        <w:left w:val="none" w:sz="0" w:space="0" w:color="auto"/>
        <w:bottom w:val="none" w:sz="0" w:space="0" w:color="auto"/>
        <w:right w:val="none" w:sz="0" w:space="0" w:color="auto"/>
      </w:divBdr>
    </w:div>
    <w:div w:id="17354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p-romi.azurefd.ne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615FBDA36B247A120AA70D1AF62E9" ma:contentTypeVersion="4" ma:contentTypeDescription="Create a new document." ma:contentTypeScope="" ma:versionID="f93aa020e988d8dae68d29190d2aa5eb">
  <xsd:schema xmlns:xsd="http://www.w3.org/2001/XMLSchema" xmlns:xs="http://www.w3.org/2001/XMLSchema" xmlns:p="http://schemas.microsoft.com/office/2006/metadata/properties" xmlns:ns2="3037b392-c090-4596-9779-04f9730f5de9" targetNamespace="http://schemas.microsoft.com/office/2006/metadata/properties" ma:root="true" ma:fieldsID="d8c1ea27940d059e6a00577eafaafb21" ns2:_="">
    <xsd:import namespace="3037b392-c090-4596-9779-04f9730f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7b392-c090-4596-9779-04f9730f5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A7DE-319E-463E-9FD2-417052CE19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DCEA40-6A7D-4824-B750-A37127D10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7b392-c090-4596-9779-04f9730f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D205C-0C06-4BE8-BC59-542A6CB0A006}">
  <ds:schemaRefs>
    <ds:schemaRef ds:uri="http://schemas.microsoft.com/sharepoint/v3/contenttype/forms"/>
  </ds:schemaRefs>
</ds:datastoreItem>
</file>

<file path=customXml/itemProps4.xml><?xml version="1.0" encoding="utf-8"?>
<ds:datastoreItem xmlns:ds="http://schemas.openxmlformats.org/officeDocument/2006/customXml" ds:itemID="{A4E30587-7F88-4DF8-8A7A-AF8836CD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1055</Words>
  <Characters>5468</Characters>
  <Application>Microsoft Office Word</Application>
  <DocSecurity>0</DocSecurity>
  <Lines>218</Lines>
  <Paragraphs>60</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and Confidential: For Authorized Use Only</dc:title>
  <dc:subject/>
  <dc:creator>Kimberly Mast</dc:creator>
  <cp:keywords/>
  <dc:description>Proprietary and Confidential: For Authorized Use Only</dc:description>
  <cp:lastModifiedBy>Kimberly Mast</cp:lastModifiedBy>
  <cp:revision>4</cp:revision>
  <cp:lastPrinted>2025-01-09T17:43:00Z</cp:lastPrinted>
  <dcterms:created xsi:type="dcterms:W3CDTF">2025-09-11T13:51:00Z</dcterms:created>
  <dcterms:modified xsi:type="dcterms:W3CDTF">2025-09-11T13:55:00Z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0x010100651615FBDA36B247A120AA70D1AF62E9</vt:lpwstr>
  </property>
  <property fmtid="{D5CDD505-2E9C-101B-9397-08002B2CF9AE}" pid="3" name="docLang">
    <vt:lpwstr>en</vt:lpwstr>
  </property>
</Properties>
</file>